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D6ECA" w14:textId="77777777" w:rsidR="009C445A" w:rsidRPr="003674C3" w:rsidRDefault="009C445A" w:rsidP="003674C3">
      <w:pPr>
        <w:spacing w:after="0" w:line="240" w:lineRule="auto"/>
        <w:jc w:val="center"/>
        <w:rPr>
          <w:rFonts w:ascii="Times New Roman" w:hAnsi="Times New Roman"/>
          <w:b/>
          <w:sz w:val="24"/>
        </w:rPr>
      </w:pPr>
      <w:r w:rsidRPr="003674C3">
        <w:rPr>
          <w:rFonts w:ascii="Times New Roman" w:hAnsi="Times New Roman"/>
          <w:b/>
          <w:sz w:val="24"/>
        </w:rPr>
        <w:t>UNIVERSITY OF MINNESOTA LAW SCHOOL</w:t>
      </w:r>
    </w:p>
    <w:p w14:paraId="1D3021AA" w14:textId="77777777" w:rsidR="009C445A" w:rsidRPr="003674C3" w:rsidRDefault="009C445A" w:rsidP="003674C3">
      <w:pPr>
        <w:spacing w:after="0" w:line="240" w:lineRule="auto"/>
        <w:jc w:val="center"/>
        <w:rPr>
          <w:rFonts w:ascii="Times New Roman" w:hAnsi="Times New Roman"/>
          <w:b/>
          <w:sz w:val="24"/>
        </w:rPr>
      </w:pPr>
      <w:r w:rsidRPr="003674C3">
        <w:rPr>
          <w:rFonts w:ascii="Times New Roman" w:hAnsi="Times New Roman"/>
          <w:b/>
          <w:sz w:val="24"/>
        </w:rPr>
        <w:t>FIRST YEAR LEGAL WRITING</w:t>
      </w:r>
    </w:p>
    <w:p w14:paraId="5A8827FC" w14:textId="77777777" w:rsidR="009C445A" w:rsidRPr="003674C3" w:rsidRDefault="009C445A" w:rsidP="003674C3">
      <w:pPr>
        <w:spacing w:after="0" w:line="240" w:lineRule="auto"/>
        <w:jc w:val="center"/>
        <w:rPr>
          <w:rFonts w:ascii="Times New Roman" w:hAnsi="Times New Roman"/>
          <w:b/>
          <w:sz w:val="24"/>
        </w:rPr>
      </w:pPr>
      <w:r w:rsidRPr="003674C3">
        <w:rPr>
          <w:rFonts w:ascii="Times New Roman" w:hAnsi="Times New Roman"/>
          <w:b/>
          <w:sz w:val="24"/>
        </w:rPr>
        <w:t>2011-12</w:t>
      </w:r>
    </w:p>
    <w:p w14:paraId="3472D559" w14:textId="77777777" w:rsidR="009C445A" w:rsidRPr="003674C3" w:rsidRDefault="009C445A" w:rsidP="003674C3">
      <w:pPr>
        <w:spacing w:after="0" w:line="240" w:lineRule="auto"/>
        <w:jc w:val="center"/>
        <w:rPr>
          <w:rFonts w:ascii="Times New Roman" w:hAnsi="Times New Roman"/>
          <w:b/>
          <w:sz w:val="24"/>
        </w:rPr>
      </w:pPr>
      <w:r w:rsidRPr="003674C3">
        <w:rPr>
          <w:rFonts w:ascii="Times New Roman" w:hAnsi="Times New Roman"/>
          <w:b/>
          <w:sz w:val="24"/>
        </w:rPr>
        <w:t>Evaluation Form</w:t>
      </w:r>
    </w:p>
    <w:p w14:paraId="346F9944" w14:textId="77777777" w:rsidR="009C445A" w:rsidRPr="003674C3" w:rsidRDefault="009C445A" w:rsidP="003674C3">
      <w:pPr>
        <w:spacing w:after="0" w:line="240" w:lineRule="auto"/>
        <w:jc w:val="center"/>
        <w:rPr>
          <w:rFonts w:ascii="Times New Roman" w:hAnsi="Times New Roman"/>
          <w:b/>
          <w:sz w:val="24"/>
        </w:rPr>
      </w:pPr>
    </w:p>
    <w:p w14:paraId="385788B1" w14:textId="77777777" w:rsidR="009C445A" w:rsidRPr="003674C3" w:rsidRDefault="009C445A" w:rsidP="003674C3">
      <w:pPr>
        <w:spacing w:after="0" w:line="240" w:lineRule="auto"/>
        <w:rPr>
          <w:rFonts w:ascii="Times New Roman" w:hAnsi="Times New Roman"/>
          <w:sz w:val="24"/>
        </w:rPr>
      </w:pPr>
      <w:r w:rsidRPr="003674C3">
        <w:rPr>
          <w:rFonts w:ascii="Times New Roman" w:hAnsi="Times New Roman"/>
          <w:sz w:val="24"/>
        </w:rPr>
        <w:t xml:space="preserve">Student Name:  </w:t>
      </w:r>
      <w:r w:rsidR="00484D13">
        <w:rPr>
          <w:rFonts w:ascii="Times New Roman" w:eastAsia="Times New Roman" w:hAnsi="Times New Roman"/>
          <w:sz w:val="24"/>
          <w:szCs w:val="24"/>
        </w:rPr>
        <w:t>&lt;redacted&gt;&lt;/redacted&gt;</w:t>
      </w:r>
      <w:r w:rsidRPr="003674C3">
        <w:rPr>
          <w:rFonts w:ascii="Times New Roman" w:hAnsi="Times New Roman"/>
          <w:sz w:val="24"/>
          <w:u w:val="single"/>
        </w:rPr>
        <w:tab/>
      </w:r>
      <w:r w:rsidRPr="003674C3">
        <w:rPr>
          <w:rFonts w:ascii="Times New Roman" w:hAnsi="Times New Roman"/>
          <w:sz w:val="24"/>
        </w:rPr>
        <w:tab/>
        <w:t xml:space="preserve">Assignment </w:t>
      </w:r>
      <w:r w:rsidRPr="003674C3">
        <w:rPr>
          <w:rFonts w:ascii="Times New Roman" w:hAnsi="Times New Roman"/>
          <w:sz w:val="24"/>
          <w:u w:val="single"/>
        </w:rPr>
        <w:t>Spring brief (rewrite)</w:t>
      </w:r>
      <w:r w:rsidRPr="003674C3">
        <w:rPr>
          <w:rFonts w:ascii="Times New Roman" w:hAnsi="Times New Roman"/>
          <w:sz w:val="24"/>
        </w:rPr>
        <w:t>_____</w:t>
      </w:r>
    </w:p>
    <w:p w14:paraId="1123B09E" w14:textId="77777777" w:rsidR="009C445A" w:rsidRPr="00296BE1" w:rsidRDefault="009C445A" w:rsidP="003674C3">
      <w:pPr>
        <w:spacing w:after="0" w:line="240" w:lineRule="auto"/>
        <w:jc w:val="center"/>
        <w:rPr>
          <w:rFonts w:ascii="Times New Roman" w:hAnsi="Times New Roman"/>
          <w:sz w:val="24"/>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48"/>
        <w:gridCol w:w="1592"/>
        <w:gridCol w:w="1292"/>
        <w:gridCol w:w="1580"/>
        <w:gridCol w:w="1699"/>
        <w:gridCol w:w="1045"/>
      </w:tblGrid>
      <w:tr w:rsidR="009C445A" w:rsidRPr="00296BE1" w14:paraId="18013AEA" w14:textId="77777777">
        <w:tc>
          <w:tcPr>
            <w:tcW w:w="1648" w:type="dxa"/>
          </w:tcPr>
          <w:p w14:paraId="213B475C"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Category</w:t>
            </w:r>
          </w:p>
        </w:tc>
        <w:tc>
          <w:tcPr>
            <w:tcW w:w="1592" w:type="dxa"/>
          </w:tcPr>
          <w:p w14:paraId="7A2D6378"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Outstanding</w:t>
            </w:r>
          </w:p>
        </w:tc>
        <w:tc>
          <w:tcPr>
            <w:tcW w:w="1292" w:type="dxa"/>
          </w:tcPr>
          <w:p w14:paraId="3A4DE4A3"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Very Good</w:t>
            </w:r>
          </w:p>
        </w:tc>
        <w:tc>
          <w:tcPr>
            <w:tcW w:w="1580" w:type="dxa"/>
          </w:tcPr>
          <w:p w14:paraId="5949065F"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Satisfactory</w:t>
            </w:r>
          </w:p>
        </w:tc>
        <w:tc>
          <w:tcPr>
            <w:tcW w:w="1699" w:type="dxa"/>
          </w:tcPr>
          <w:p w14:paraId="61865D73"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Unsatisfactory</w:t>
            </w:r>
          </w:p>
        </w:tc>
        <w:tc>
          <w:tcPr>
            <w:tcW w:w="1045" w:type="dxa"/>
          </w:tcPr>
          <w:p w14:paraId="7ABBF70A"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N/A</w:t>
            </w:r>
          </w:p>
        </w:tc>
      </w:tr>
      <w:tr w:rsidR="009C445A" w:rsidRPr="00296BE1" w14:paraId="23C5E623" w14:textId="77777777">
        <w:tc>
          <w:tcPr>
            <w:tcW w:w="1648" w:type="dxa"/>
          </w:tcPr>
          <w:p w14:paraId="023DD54A"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Issue Identification</w:t>
            </w:r>
          </w:p>
        </w:tc>
        <w:tc>
          <w:tcPr>
            <w:tcW w:w="1592" w:type="dxa"/>
            <w:vAlign w:val="center"/>
          </w:tcPr>
          <w:p w14:paraId="192C26CA"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4DD8E1FC" w14:textId="77777777" w:rsidR="009C445A" w:rsidRPr="00296BE1" w:rsidRDefault="009C445A" w:rsidP="00BC002C">
            <w:pPr>
              <w:spacing w:after="0" w:line="240" w:lineRule="auto"/>
              <w:jc w:val="center"/>
              <w:rPr>
                <w:rFonts w:ascii="Times New Roman" w:hAnsi="Times New Roman"/>
                <w:sz w:val="24"/>
              </w:rPr>
            </w:pPr>
          </w:p>
        </w:tc>
        <w:tc>
          <w:tcPr>
            <w:tcW w:w="1580" w:type="dxa"/>
            <w:vAlign w:val="center"/>
          </w:tcPr>
          <w:p w14:paraId="14625FC9" w14:textId="77777777" w:rsidR="009C445A" w:rsidRPr="00296BE1" w:rsidRDefault="009C445A" w:rsidP="00BC002C">
            <w:pPr>
              <w:spacing w:after="0" w:line="240" w:lineRule="auto"/>
              <w:jc w:val="center"/>
              <w:rPr>
                <w:rFonts w:ascii="Times New Roman" w:hAnsi="Times New Roman"/>
                <w:sz w:val="24"/>
              </w:rPr>
            </w:pPr>
            <w:r>
              <w:rPr>
                <w:rFonts w:ascii="Times New Roman" w:hAnsi="Times New Roman"/>
                <w:sz w:val="24"/>
              </w:rPr>
              <w:t>X</w:t>
            </w:r>
          </w:p>
        </w:tc>
        <w:tc>
          <w:tcPr>
            <w:tcW w:w="1699" w:type="dxa"/>
            <w:vAlign w:val="center"/>
          </w:tcPr>
          <w:p w14:paraId="1D015054"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567363BB"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18410DA0" w14:textId="77777777">
        <w:tc>
          <w:tcPr>
            <w:tcW w:w="1648" w:type="dxa"/>
          </w:tcPr>
          <w:p w14:paraId="7A1A8116"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Rule identification</w:t>
            </w:r>
          </w:p>
        </w:tc>
        <w:tc>
          <w:tcPr>
            <w:tcW w:w="1592" w:type="dxa"/>
            <w:vAlign w:val="center"/>
          </w:tcPr>
          <w:p w14:paraId="65D727EB"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0A235730" w14:textId="77777777" w:rsidR="009C445A" w:rsidRPr="00296BE1" w:rsidRDefault="009C445A" w:rsidP="00BC002C">
            <w:pPr>
              <w:spacing w:after="0" w:line="240" w:lineRule="auto"/>
              <w:jc w:val="center"/>
              <w:rPr>
                <w:rFonts w:ascii="Times New Roman" w:hAnsi="Times New Roman"/>
                <w:sz w:val="24"/>
              </w:rPr>
            </w:pPr>
          </w:p>
        </w:tc>
        <w:tc>
          <w:tcPr>
            <w:tcW w:w="1580" w:type="dxa"/>
            <w:vAlign w:val="center"/>
          </w:tcPr>
          <w:p w14:paraId="08D486BC" w14:textId="77777777" w:rsidR="009C445A" w:rsidRPr="00296BE1" w:rsidRDefault="009C445A" w:rsidP="00BC002C">
            <w:pPr>
              <w:spacing w:after="0" w:line="240" w:lineRule="auto"/>
              <w:jc w:val="center"/>
              <w:rPr>
                <w:rFonts w:ascii="Times New Roman" w:hAnsi="Times New Roman"/>
                <w:sz w:val="24"/>
              </w:rPr>
            </w:pPr>
            <w:r w:rsidRPr="00296BE1">
              <w:rPr>
                <w:rFonts w:ascii="Times New Roman" w:hAnsi="Times New Roman"/>
                <w:sz w:val="24"/>
              </w:rPr>
              <w:t>X</w:t>
            </w:r>
          </w:p>
        </w:tc>
        <w:tc>
          <w:tcPr>
            <w:tcW w:w="1699" w:type="dxa"/>
            <w:vAlign w:val="center"/>
          </w:tcPr>
          <w:p w14:paraId="5C4199E9"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5BBA61A6"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5967835F" w14:textId="77777777">
        <w:tc>
          <w:tcPr>
            <w:tcW w:w="1648" w:type="dxa"/>
          </w:tcPr>
          <w:p w14:paraId="12B47152"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Rule Explanation</w:t>
            </w:r>
          </w:p>
        </w:tc>
        <w:tc>
          <w:tcPr>
            <w:tcW w:w="1592" w:type="dxa"/>
            <w:vAlign w:val="center"/>
          </w:tcPr>
          <w:p w14:paraId="2F6C0120"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5D73F427" w14:textId="77777777" w:rsidR="009C445A" w:rsidRPr="00296BE1" w:rsidRDefault="009C445A" w:rsidP="00BC002C">
            <w:pPr>
              <w:spacing w:after="0" w:line="240" w:lineRule="auto"/>
              <w:jc w:val="center"/>
              <w:rPr>
                <w:rFonts w:ascii="Times New Roman" w:hAnsi="Times New Roman"/>
                <w:sz w:val="24"/>
              </w:rPr>
            </w:pPr>
            <w:r w:rsidRPr="00296BE1">
              <w:rPr>
                <w:rFonts w:ascii="Times New Roman" w:hAnsi="Times New Roman"/>
                <w:sz w:val="24"/>
              </w:rPr>
              <w:t>X</w:t>
            </w:r>
          </w:p>
        </w:tc>
        <w:tc>
          <w:tcPr>
            <w:tcW w:w="1580" w:type="dxa"/>
            <w:vAlign w:val="center"/>
          </w:tcPr>
          <w:p w14:paraId="446A599B" w14:textId="77777777" w:rsidR="009C445A" w:rsidRPr="00296BE1" w:rsidRDefault="009C445A" w:rsidP="00BC002C">
            <w:pPr>
              <w:spacing w:after="0" w:line="240" w:lineRule="auto"/>
              <w:jc w:val="center"/>
              <w:rPr>
                <w:rFonts w:ascii="Times New Roman" w:hAnsi="Times New Roman"/>
                <w:sz w:val="24"/>
              </w:rPr>
            </w:pPr>
          </w:p>
        </w:tc>
        <w:tc>
          <w:tcPr>
            <w:tcW w:w="1699" w:type="dxa"/>
            <w:vAlign w:val="center"/>
          </w:tcPr>
          <w:p w14:paraId="3EFC5631"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71836931"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41F6D6B1" w14:textId="77777777">
        <w:tc>
          <w:tcPr>
            <w:tcW w:w="1648" w:type="dxa"/>
          </w:tcPr>
          <w:p w14:paraId="7327B60A"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Application of Rule to Facts</w:t>
            </w:r>
          </w:p>
        </w:tc>
        <w:tc>
          <w:tcPr>
            <w:tcW w:w="1592" w:type="dxa"/>
            <w:vAlign w:val="center"/>
          </w:tcPr>
          <w:p w14:paraId="557F985D"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1B051602" w14:textId="77777777" w:rsidR="009C445A" w:rsidRPr="00296BE1" w:rsidRDefault="009C445A" w:rsidP="00BC002C">
            <w:pPr>
              <w:spacing w:after="0" w:line="240" w:lineRule="auto"/>
              <w:jc w:val="center"/>
              <w:rPr>
                <w:rFonts w:ascii="Times New Roman" w:hAnsi="Times New Roman"/>
                <w:sz w:val="24"/>
              </w:rPr>
            </w:pPr>
            <w:r w:rsidRPr="00296BE1">
              <w:rPr>
                <w:rFonts w:ascii="Times New Roman" w:hAnsi="Times New Roman"/>
                <w:sz w:val="24"/>
              </w:rPr>
              <w:t>X</w:t>
            </w:r>
          </w:p>
        </w:tc>
        <w:tc>
          <w:tcPr>
            <w:tcW w:w="1580" w:type="dxa"/>
            <w:vAlign w:val="center"/>
          </w:tcPr>
          <w:p w14:paraId="2D2A059F" w14:textId="77777777" w:rsidR="009C445A" w:rsidRPr="00296BE1" w:rsidRDefault="009C445A" w:rsidP="00BC002C">
            <w:pPr>
              <w:spacing w:after="0" w:line="240" w:lineRule="auto"/>
              <w:jc w:val="center"/>
              <w:rPr>
                <w:rFonts w:ascii="Times New Roman" w:hAnsi="Times New Roman"/>
                <w:sz w:val="24"/>
              </w:rPr>
            </w:pPr>
          </w:p>
        </w:tc>
        <w:tc>
          <w:tcPr>
            <w:tcW w:w="1699" w:type="dxa"/>
            <w:vAlign w:val="center"/>
          </w:tcPr>
          <w:p w14:paraId="402675C2"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1E807AE1"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42EB330F" w14:textId="77777777">
        <w:tc>
          <w:tcPr>
            <w:tcW w:w="1648" w:type="dxa"/>
          </w:tcPr>
          <w:p w14:paraId="35970CAF"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Conclusion</w:t>
            </w:r>
          </w:p>
        </w:tc>
        <w:tc>
          <w:tcPr>
            <w:tcW w:w="1592" w:type="dxa"/>
            <w:vAlign w:val="center"/>
          </w:tcPr>
          <w:p w14:paraId="7ECE5AE1" w14:textId="77777777" w:rsidR="009C445A" w:rsidRPr="00296BE1" w:rsidRDefault="009C445A" w:rsidP="00BC002C">
            <w:pPr>
              <w:spacing w:after="0" w:line="240" w:lineRule="auto"/>
              <w:jc w:val="center"/>
              <w:rPr>
                <w:rFonts w:ascii="Times New Roman" w:hAnsi="Times New Roman"/>
                <w:sz w:val="24"/>
              </w:rPr>
            </w:pPr>
          </w:p>
          <w:p w14:paraId="4D816A9D"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78E3F30E" w14:textId="77777777" w:rsidR="009C445A" w:rsidRPr="00296BE1" w:rsidRDefault="009C445A" w:rsidP="00BC002C">
            <w:pPr>
              <w:spacing w:after="0" w:line="240" w:lineRule="auto"/>
              <w:jc w:val="center"/>
              <w:rPr>
                <w:rFonts w:ascii="Times New Roman" w:hAnsi="Times New Roman"/>
                <w:sz w:val="24"/>
              </w:rPr>
            </w:pPr>
          </w:p>
        </w:tc>
        <w:tc>
          <w:tcPr>
            <w:tcW w:w="1580" w:type="dxa"/>
            <w:vAlign w:val="center"/>
          </w:tcPr>
          <w:p w14:paraId="5BF0611C" w14:textId="77777777" w:rsidR="009C445A" w:rsidRPr="00296BE1" w:rsidRDefault="009C445A" w:rsidP="00BC002C">
            <w:pPr>
              <w:spacing w:after="0" w:line="240" w:lineRule="auto"/>
              <w:jc w:val="center"/>
              <w:rPr>
                <w:rFonts w:ascii="Times New Roman" w:hAnsi="Times New Roman"/>
                <w:sz w:val="24"/>
              </w:rPr>
            </w:pPr>
            <w:r w:rsidRPr="00296BE1">
              <w:rPr>
                <w:rFonts w:ascii="Times New Roman" w:hAnsi="Times New Roman"/>
                <w:sz w:val="24"/>
              </w:rPr>
              <w:t>X</w:t>
            </w:r>
          </w:p>
        </w:tc>
        <w:tc>
          <w:tcPr>
            <w:tcW w:w="1699" w:type="dxa"/>
            <w:vAlign w:val="center"/>
          </w:tcPr>
          <w:p w14:paraId="2FCA6749"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02E91585"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19228F5B" w14:textId="77777777">
        <w:tc>
          <w:tcPr>
            <w:tcW w:w="1648" w:type="dxa"/>
          </w:tcPr>
          <w:p w14:paraId="54129294"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Overall Organization</w:t>
            </w:r>
          </w:p>
        </w:tc>
        <w:tc>
          <w:tcPr>
            <w:tcW w:w="1592" w:type="dxa"/>
            <w:vAlign w:val="center"/>
          </w:tcPr>
          <w:p w14:paraId="678E1739"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511DCF48" w14:textId="77777777" w:rsidR="009C445A" w:rsidRPr="00296BE1" w:rsidRDefault="009C445A" w:rsidP="00BC002C">
            <w:pPr>
              <w:spacing w:after="0" w:line="240" w:lineRule="auto"/>
              <w:jc w:val="center"/>
              <w:rPr>
                <w:rFonts w:ascii="Times New Roman" w:hAnsi="Times New Roman"/>
                <w:sz w:val="24"/>
              </w:rPr>
            </w:pPr>
          </w:p>
        </w:tc>
        <w:tc>
          <w:tcPr>
            <w:tcW w:w="1580" w:type="dxa"/>
            <w:vAlign w:val="center"/>
          </w:tcPr>
          <w:p w14:paraId="7FA5D45F" w14:textId="77777777" w:rsidR="009C445A" w:rsidRPr="00296BE1" w:rsidRDefault="009C445A" w:rsidP="00BC002C">
            <w:pPr>
              <w:spacing w:after="0" w:line="240" w:lineRule="auto"/>
              <w:jc w:val="center"/>
              <w:rPr>
                <w:rFonts w:ascii="Times New Roman" w:hAnsi="Times New Roman"/>
                <w:sz w:val="24"/>
              </w:rPr>
            </w:pPr>
            <w:r w:rsidRPr="00296BE1">
              <w:rPr>
                <w:rFonts w:ascii="Times New Roman" w:hAnsi="Times New Roman"/>
                <w:sz w:val="24"/>
              </w:rPr>
              <w:t>X</w:t>
            </w:r>
          </w:p>
        </w:tc>
        <w:tc>
          <w:tcPr>
            <w:tcW w:w="1699" w:type="dxa"/>
            <w:vAlign w:val="center"/>
          </w:tcPr>
          <w:p w14:paraId="17D12AD6"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4E6523FD"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2C0914CB" w14:textId="77777777">
        <w:tc>
          <w:tcPr>
            <w:tcW w:w="1648" w:type="dxa"/>
          </w:tcPr>
          <w:p w14:paraId="5DE265DB"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Road-mapping and Transitions</w:t>
            </w:r>
          </w:p>
        </w:tc>
        <w:tc>
          <w:tcPr>
            <w:tcW w:w="1592" w:type="dxa"/>
            <w:vAlign w:val="center"/>
          </w:tcPr>
          <w:p w14:paraId="516A6D8E"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7AF9C91C" w14:textId="77777777" w:rsidR="009C445A" w:rsidRPr="00296BE1" w:rsidRDefault="009C445A" w:rsidP="00BC002C">
            <w:pPr>
              <w:spacing w:after="0" w:line="240" w:lineRule="auto"/>
              <w:jc w:val="center"/>
              <w:rPr>
                <w:rFonts w:ascii="Times New Roman" w:hAnsi="Times New Roman"/>
                <w:sz w:val="24"/>
              </w:rPr>
            </w:pPr>
            <w:r>
              <w:rPr>
                <w:rFonts w:ascii="Times New Roman" w:hAnsi="Times New Roman"/>
                <w:sz w:val="24"/>
              </w:rPr>
              <w:t>X</w:t>
            </w:r>
          </w:p>
        </w:tc>
        <w:tc>
          <w:tcPr>
            <w:tcW w:w="1580" w:type="dxa"/>
            <w:vAlign w:val="center"/>
          </w:tcPr>
          <w:p w14:paraId="5BA51FEC" w14:textId="77777777" w:rsidR="009C445A" w:rsidRPr="00296BE1" w:rsidRDefault="009C445A" w:rsidP="00BC002C">
            <w:pPr>
              <w:spacing w:after="0" w:line="240" w:lineRule="auto"/>
              <w:jc w:val="center"/>
              <w:rPr>
                <w:rFonts w:ascii="Times New Roman" w:hAnsi="Times New Roman"/>
                <w:sz w:val="24"/>
              </w:rPr>
            </w:pPr>
          </w:p>
        </w:tc>
        <w:tc>
          <w:tcPr>
            <w:tcW w:w="1699" w:type="dxa"/>
            <w:vAlign w:val="center"/>
          </w:tcPr>
          <w:p w14:paraId="68C6782C"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20FD2F37"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2887BE9C" w14:textId="77777777">
        <w:tc>
          <w:tcPr>
            <w:tcW w:w="1648" w:type="dxa"/>
          </w:tcPr>
          <w:p w14:paraId="736F71FB"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Compare and Contrast Analysis</w:t>
            </w:r>
          </w:p>
        </w:tc>
        <w:tc>
          <w:tcPr>
            <w:tcW w:w="1592" w:type="dxa"/>
            <w:vAlign w:val="center"/>
          </w:tcPr>
          <w:p w14:paraId="157499E8"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3541062A" w14:textId="77777777" w:rsidR="009C445A" w:rsidRPr="00296BE1" w:rsidRDefault="009C445A" w:rsidP="00BC002C">
            <w:pPr>
              <w:spacing w:after="0" w:line="240" w:lineRule="auto"/>
              <w:jc w:val="center"/>
              <w:rPr>
                <w:rFonts w:ascii="Times New Roman" w:hAnsi="Times New Roman"/>
                <w:sz w:val="24"/>
              </w:rPr>
            </w:pPr>
          </w:p>
        </w:tc>
        <w:tc>
          <w:tcPr>
            <w:tcW w:w="1580" w:type="dxa"/>
            <w:vAlign w:val="center"/>
          </w:tcPr>
          <w:p w14:paraId="1A964B88" w14:textId="77777777" w:rsidR="009C445A" w:rsidRPr="00296BE1" w:rsidRDefault="009C445A" w:rsidP="00BC002C">
            <w:pPr>
              <w:spacing w:after="0" w:line="240" w:lineRule="auto"/>
              <w:jc w:val="center"/>
              <w:rPr>
                <w:rFonts w:ascii="Times New Roman" w:hAnsi="Times New Roman"/>
                <w:sz w:val="24"/>
              </w:rPr>
            </w:pPr>
            <w:r w:rsidRPr="00296BE1">
              <w:rPr>
                <w:rFonts w:ascii="Times New Roman" w:hAnsi="Times New Roman"/>
                <w:sz w:val="24"/>
              </w:rPr>
              <w:t>X</w:t>
            </w:r>
          </w:p>
        </w:tc>
        <w:tc>
          <w:tcPr>
            <w:tcW w:w="1699" w:type="dxa"/>
            <w:vAlign w:val="center"/>
          </w:tcPr>
          <w:p w14:paraId="12DC64D2"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2C14798C"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3A62D4D7" w14:textId="77777777">
        <w:tc>
          <w:tcPr>
            <w:tcW w:w="1648" w:type="dxa"/>
          </w:tcPr>
          <w:p w14:paraId="7AA83CD6"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Mechanics (Grammar, Proof-reading)</w:t>
            </w:r>
          </w:p>
        </w:tc>
        <w:tc>
          <w:tcPr>
            <w:tcW w:w="1592" w:type="dxa"/>
            <w:vAlign w:val="center"/>
          </w:tcPr>
          <w:p w14:paraId="2332D99A"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70D2A629" w14:textId="77777777" w:rsidR="009C445A" w:rsidRPr="00296BE1" w:rsidRDefault="009C445A" w:rsidP="00BC002C">
            <w:pPr>
              <w:spacing w:after="0" w:line="240" w:lineRule="auto"/>
              <w:jc w:val="center"/>
              <w:rPr>
                <w:rFonts w:ascii="Times New Roman" w:hAnsi="Times New Roman"/>
                <w:sz w:val="24"/>
              </w:rPr>
            </w:pPr>
          </w:p>
        </w:tc>
        <w:tc>
          <w:tcPr>
            <w:tcW w:w="1580" w:type="dxa"/>
            <w:vAlign w:val="center"/>
          </w:tcPr>
          <w:p w14:paraId="5C3D5C18" w14:textId="77777777" w:rsidR="009C445A" w:rsidRPr="00296BE1" w:rsidRDefault="009C445A" w:rsidP="00BC002C">
            <w:pPr>
              <w:spacing w:after="0" w:line="240" w:lineRule="auto"/>
              <w:jc w:val="center"/>
              <w:rPr>
                <w:rFonts w:ascii="Times New Roman" w:hAnsi="Times New Roman"/>
                <w:sz w:val="24"/>
              </w:rPr>
            </w:pPr>
            <w:r w:rsidRPr="00296BE1">
              <w:rPr>
                <w:rFonts w:ascii="Times New Roman" w:hAnsi="Times New Roman"/>
                <w:sz w:val="24"/>
              </w:rPr>
              <w:t>X</w:t>
            </w:r>
          </w:p>
        </w:tc>
        <w:tc>
          <w:tcPr>
            <w:tcW w:w="1699" w:type="dxa"/>
            <w:vAlign w:val="center"/>
          </w:tcPr>
          <w:p w14:paraId="3902DF75"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3E436412" w14:textId="77777777" w:rsidR="009C445A" w:rsidRPr="00296BE1" w:rsidRDefault="009C445A" w:rsidP="00BC002C">
            <w:pPr>
              <w:spacing w:after="0" w:line="240" w:lineRule="auto"/>
              <w:jc w:val="center"/>
              <w:rPr>
                <w:rFonts w:ascii="Times New Roman" w:hAnsi="Times New Roman"/>
                <w:sz w:val="24"/>
              </w:rPr>
            </w:pPr>
          </w:p>
        </w:tc>
      </w:tr>
      <w:tr w:rsidR="009C445A" w:rsidRPr="00296BE1" w14:paraId="630F295C" w14:textId="77777777">
        <w:tc>
          <w:tcPr>
            <w:tcW w:w="1648" w:type="dxa"/>
          </w:tcPr>
          <w:p w14:paraId="7C8C0ED3" w14:textId="77777777" w:rsidR="009C445A" w:rsidRPr="00296BE1" w:rsidRDefault="009C445A" w:rsidP="00BC002C">
            <w:pPr>
              <w:spacing w:after="0" w:line="240" w:lineRule="auto"/>
              <w:jc w:val="both"/>
              <w:rPr>
                <w:rFonts w:ascii="Times New Roman" w:hAnsi="Times New Roman"/>
                <w:sz w:val="24"/>
              </w:rPr>
            </w:pPr>
            <w:r w:rsidRPr="00296BE1">
              <w:rPr>
                <w:rFonts w:ascii="Times New Roman" w:hAnsi="Times New Roman"/>
                <w:sz w:val="24"/>
              </w:rPr>
              <w:t>Citations</w:t>
            </w:r>
          </w:p>
        </w:tc>
        <w:tc>
          <w:tcPr>
            <w:tcW w:w="1592" w:type="dxa"/>
            <w:vAlign w:val="center"/>
          </w:tcPr>
          <w:p w14:paraId="2421A2E0" w14:textId="77777777" w:rsidR="009C445A" w:rsidRPr="00296BE1" w:rsidRDefault="009C445A" w:rsidP="00BC002C">
            <w:pPr>
              <w:spacing w:after="0" w:line="240" w:lineRule="auto"/>
              <w:jc w:val="center"/>
              <w:rPr>
                <w:rFonts w:ascii="Times New Roman" w:hAnsi="Times New Roman"/>
                <w:sz w:val="24"/>
              </w:rPr>
            </w:pPr>
          </w:p>
          <w:p w14:paraId="39722658" w14:textId="77777777" w:rsidR="009C445A" w:rsidRPr="00296BE1" w:rsidRDefault="009C445A" w:rsidP="00BC002C">
            <w:pPr>
              <w:spacing w:after="0" w:line="240" w:lineRule="auto"/>
              <w:jc w:val="center"/>
              <w:rPr>
                <w:rFonts w:ascii="Times New Roman" w:hAnsi="Times New Roman"/>
                <w:sz w:val="24"/>
              </w:rPr>
            </w:pPr>
          </w:p>
        </w:tc>
        <w:tc>
          <w:tcPr>
            <w:tcW w:w="1292" w:type="dxa"/>
            <w:vAlign w:val="center"/>
          </w:tcPr>
          <w:p w14:paraId="6B35D5EF" w14:textId="77777777" w:rsidR="009C445A" w:rsidRPr="00296BE1" w:rsidRDefault="009C445A" w:rsidP="00BC002C">
            <w:pPr>
              <w:spacing w:after="0" w:line="240" w:lineRule="auto"/>
              <w:jc w:val="center"/>
              <w:rPr>
                <w:rFonts w:ascii="Times New Roman" w:hAnsi="Times New Roman"/>
                <w:sz w:val="24"/>
              </w:rPr>
            </w:pPr>
          </w:p>
        </w:tc>
        <w:tc>
          <w:tcPr>
            <w:tcW w:w="1580" w:type="dxa"/>
            <w:vAlign w:val="center"/>
          </w:tcPr>
          <w:p w14:paraId="0B5D151C" w14:textId="77777777" w:rsidR="009C445A" w:rsidRPr="00296BE1" w:rsidRDefault="009C445A" w:rsidP="00BC002C">
            <w:pPr>
              <w:spacing w:after="0" w:line="240" w:lineRule="auto"/>
              <w:jc w:val="center"/>
              <w:rPr>
                <w:rFonts w:ascii="Times New Roman" w:hAnsi="Times New Roman"/>
                <w:sz w:val="24"/>
              </w:rPr>
            </w:pPr>
            <w:r>
              <w:rPr>
                <w:rFonts w:ascii="Times New Roman" w:hAnsi="Times New Roman"/>
                <w:sz w:val="24"/>
              </w:rPr>
              <w:t>X</w:t>
            </w:r>
          </w:p>
        </w:tc>
        <w:tc>
          <w:tcPr>
            <w:tcW w:w="1699" w:type="dxa"/>
            <w:vAlign w:val="center"/>
          </w:tcPr>
          <w:p w14:paraId="0CFF7A37" w14:textId="77777777" w:rsidR="009C445A" w:rsidRPr="00296BE1" w:rsidRDefault="009C445A" w:rsidP="00BC002C">
            <w:pPr>
              <w:spacing w:after="0" w:line="240" w:lineRule="auto"/>
              <w:jc w:val="center"/>
              <w:rPr>
                <w:rFonts w:ascii="Times New Roman" w:hAnsi="Times New Roman"/>
                <w:sz w:val="24"/>
              </w:rPr>
            </w:pPr>
          </w:p>
        </w:tc>
        <w:tc>
          <w:tcPr>
            <w:tcW w:w="1045" w:type="dxa"/>
            <w:vAlign w:val="center"/>
          </w:tcPr>
          <w:p w14:paraId="40003572" w14:textId="77777777" w:rsidR="009C445A" w:rsidRPr="00296BE1" w:rsidRDefault="009C445A" w:rsidP="00BC002C">
            <w:pPr>
              <w:spacing w:after="0" w:line="240" w:lineRule="auto"/>
              <w:jc w:val="center"/>
              <w:rPr>
                <w:rFonts w:ascii="Times New Roman" w:hAnsi="Times New Roman"/>
                <w:sz w:val="24"/>
              </w:rPr>
            </w:pPr>
          </w:p>
        </w:tc>
      </w:tr>
    </w:tbl>
    <w:p w14:paraId="57B28B2F" w14:textId="77777777" w:rsidR="009C445A" w:rsidRPr="00296BE1" w:rsidRDefault="009C445A" w:rsidP="003674C3">
      <w:pPr>
        <w:spacing w:after="0" w:line="240" w:lineRule="auto"/>
        <w:rPr>
          <w:rFonts w:ascii="Times New Roman" w:hAnsi="Times New Roman"/>
          <w:sz w:val="24"/>
        </w:rPr>
      </w:pPr>
    </w:p>
    <w:p w14:paraId="77925EF7" w14:textId="77777777" w:rsidR="009C445A" w:rsidRPr="00296BE1" w:rsidRDefault="009C445A" w:rsidP="003674C3">
      <w:pPr>
        <w:spacing w:after="0" w:line="240" w:lineRule="auto"/>
        <w:rPr>
          <w:rFonts w:ascii="Times New Roman" w:hAnsi="Times New Roman"/>
          <w:sz w:val="24"/>
        </w:rPr>
      </w:pPr>
    </w:p>
    <w:p w14:paraId="45522237" w14:textId="77777777" w:rsidR="009C445A" w:rsidRPr="00296BE1" w:rsidRDefault="009C445A" w:rsidP="003674C3">
      <w:pPr>
        <w:spacing w:after="0" w:line="240" w:lineRule="auto"/>
        <w:rPr>
          <w:rFonts w:ascii="Times New Roman" w:hAnsi="Times New Roman"/>
          <w:sz w:val="24"/>
        </w:rPr>
      </w:pPr>
      <w:r w:rsidRPr="00296BE1">
        <w:rPr>
          <w:rFonts w:ascii="Times New Roman" w:hAnsi="Times New Roman"/>
          <w:b/>
          <w:sz w:val="24"/>
        </w:rPr>
        <w:t>Overall Assessment</w:t>
      </w:r>
      <w:r w:rsidRPr="00296BE1">
        <w:rPr>
          <w:rFonts w:ascii="Times New Roman" w:hAnsi="Times New Roman"/>
          <w:sz w:val="24"/>
        </w:rPr>
        <w:t xml:space="preserve"> of exercise as a whole:</w:t>
      </w:r>
    </w:p>
    <w:p w14:paraId="7AF774D0" w14:textId="77777777" w:rsidR="009C445A" w:rsidRPr="00296BE1" w:rsidRDefault="009C445A" w:rsidP="003674C3">
      <w:pPr>
        <w:spacing w:after="0" w:line="240" w:lineRule="auto"/>
        <w:rPr>
          <w:rFonts w:ascii="Times New Roman" w:hAnsi="Times New Roman"/>
          <w:sz w:val="24"/>
        </w:rPr>
      </w:pPr>
      <w:r w:rsidRPr="00296BE1">
        <w:rPr>
          <w:rFonts w:ascii="Times New Roman" w:hAnsi="Times New Roman"/>
          <w:sz w:val="24"/>
        </w:rPr>
        <w:t>Outstanding (significantly exceeds all expectations) ____________________________</w:t>
      </w:r>
    </w:p>
    <w:p w14:paraId="024951CB" w14:textId="77777777" w:rsidR="009C445A" w:rsidRPr="00296BE1" w:rsidRDefault="009C445A" w:rsidP="003674C3">
      <w:pPr>
        <w:spacing w:after="0" w:line="240" w:lineRule="auto"/>
        <w:rPr>
          <w:rFonts w:ascii="Times New Roman" w:hAnsi="Times New Roman"/>
          <w:sz w:val="24"/>
        </w:rPr>
      </w:pPr>
      <w:r w:rsidRPr="00296BE1">
        <w:rPr>
          <w:rFonts w:ascii="Times New Roman" w:hAnsi="Times New Roman"/>
          <w:sz w:val="24"/>
        </w:rPr>
        <w:t>Very Good (exceeds most expectations) ______________________________________</w:t>
      </w:r>
    </w:p>
    <w:p w14:paraId="51D38088" w14:textId="77777777" w:rsidR="009C445A" w:rsidRPr="00296BE1" w:rsidRDefault="009C445A" w:rsidP="003674C3">
      <w:pPr>
        <w:spacing w:after="0" w:line="240" w:lineRule="auto"/>
        <w:rPr>
          <w:rFonts w:ascii="Times New Roman" w:hAnsi="Times New Roman"/>
          <w:sz w:val="24"/>
        </w:rPr>
      </w:pPr>
      <w:r w:rsidRPr="00296BE1">
        <w:rPr>
          <w:rFonts w:ascii="Times New Roman" w:hAnsi="Times New Roman"/>
          <w:sz w:val="24"/>
        </w:rPr>
        <w:t>Satisfactory (meets expectations generally or with only minor exceptions) _____</w:t>
      </w:r>
      <w:r w:rsidRPr="00296BE1">
        <w:rPr>
          <w:rFonts w:ascii="Times New Roman" w:hAnsi="Times New Roman"/>
          <w:sz w:val="24"/>
          <w:u w:val="single"/>
        </w:rPr>
        <w:t>X</w:t>
      </w:r>
      <w:r w:rsidRPr="00296BE1">
        <w:rPr>
          <w:rFonts w:ascii="Times New Roman" w:hAnsi="Times New Roman"/>
          <w:sz w:val="24"/>
        </w:rPr>
        <w:t>______</w:t>
      </w:r>
    </w:p>
    <w:p w14:paraId="39F6CC8F" w14:textId="77777777" w:rsidR="009C445A" w:rsidRPr="00296BE1" w:rsidRDefault="009C445A" w:rsidP="003674C3">
      <w:pPr>
        <w:spacing w:after="0" w:line="240" w:lineRule="auto"/>
        <w:rPr>
          <w:rFonts w:ascii="Times New Roman" w:hAnsi="Times New Roman"/>
          <w:sz w:val="24"/>
        </w:rPr>
      </w:pPr>
      <w:r w:rsidRPr="00296BE1">
        <w:rPr>
          <w:rFonts w:ascii="Times New Roman" w:hAnsi="Times New Roman"/>
          <w:sz w:val="24"/>
        </w:rPr>
        <w:t>Unsatisfactory (does not meet expectations in substantial respects) _________________</w:t>
      </w:r>
    </w:p>
    <w:p w14:paraId="4C124AB0" w14:textId="77777777" w:rsidR="009C445A" w:rsidRPr="00296BE1" w:rsidRDefault="009C445A" w:rsidP="003674C3">
      <w:pPr>
        <w:spacing w:after="0" w:line="240" w:lineRule="auto"/>
        <w:rPr>
          <w:rFonts w:ascii="Times New Roman" w:hAnsi="Times New Roman"/>
          <w:sz w:val="24"/>
        </w:rPr>
      </w:pPr>
    </w:p>
    <w:p w14:paraId="74C81960" w14:textId="77777777" w:rsidR="009C445A" w:rsidRPr="00296BE1" w:rsidRDefault="009C445A" w:rsidP="003674C3">
      <w:pPr>
        <w:spacing w:after="0" w:line="240" w:lineRule="auto"/>
        <w:rPr>
          <w:rFonts w:ascii="Times New Roman" w:hAnsi="Times New Roman"/>
          <w:sz w:val="24"/>
        </w:rPr>
      </w:pPr>
      <w:r w:rsidRPr="00296BE1">
        <w:rPr>
          <w:rFonts w:ascii="Times New Roman" w:hAnsi="Times New Roman"/>
          <w:sz w:val="24"/>
        </w:rPr>
        <w:t>*Comments on details are on the student’s actual assignment and on the reverse side of this form</w:t>
      </w:r>
    </w:p>
    <w:p w14:paraId="3B82771B" w14:textId="77777777" w:rsidR="009C445A" w:rsidRPr="00296BE1" w:rsidRDefault="009C445A" w:rsidP="003674C3">
      <w:pPr>
        <w:spacing w:after="0" w:line="240" w:lineRule="auto"/>
        <w:rPr>
          <w:rFonts w:ascii="Times New Roman" w:hAnsi="Times New Roman"/>
          <w:sz w:val="24"/>
        </w:rPr>
      </w:pPr>
    </w:p>
    <w:p w14:paraId="17200AC5" w14:textId="77777777" w:rsidR="009C445A" w:rsidRPr="00296BE1" w:rsidRDefault="009C445A" w:rsidP="003674C3">
      <w:pPr>
        <w:spacing w:after="0" w:line="240" w:lineRule="auto"/>
        <w:rPr>
          <w:rFonts w:ascii="Times New Roman" w:hAnsi="Times New Roman"/>
          <w:sz w:val="24"/>
        </w:rPr>
      </w:pPr>
    </w:p>
    <w:p w14:paraId="4349F7BD" w14:textId="77777777" w:rsidR="009C445A" w:rsidRPr="00296BE1" w:rsidRDefault="009C445A" w:rsidP="003674C3">
      <w:pPr>
        <w:spacing w:after="0" w:line="240" w:lineRule="auto"/>
        <w:rPr>
          <w:rFonts w:ascii="Times New Roman" w:hAnsi="Times New Roman"/>
          <w:sz w:val="24"/>
        </w:rPr>
      </w:pPr>
    </w:p>
    <w:p w14:paraId="07B1F524" w14:textId="77777777" w:rsidR="009C445A" w:rsidRPr="00C3515F" w:rsidRDefault="009C445A" w:rsidP="003674C3">
      <w:pPr>
        <w:spacing w:after="0" w:line="240" w:lineRule="auto"/>
        <w:rPr>
          <w:rFonts w:ascii="Times New Roman" w:hAnsi="Times New Roman"/>
          <w:sz w:val="24"/>
        </w:rPr>
      </w:pPr>
      <w:r w:rsidRPr="00296BE1">
        <w:rPr>
          <w:rFonts w:ascii="Times New Roman" w:hAnsi="Times New Roman"/>
          <w:sz w:val="24"/>
        </w:rPr>
        <w:br w:type="column"/>
      </w:r>
      <w:r w:rsidRPr="00C3515F">
        <w:rPr>
          <w:rFonts w:ascii="Times New Roman" w:hAnsi="Times New Roman"/>
          <w:sz w:val="24"/>
        </w:rPr>
        <w:lastRenderedPageBreak/>
        <w:t xml:space="preserve">One or two of the most important aspects done </w:t>
      </w:r>
      <w:r w:rsidRPr="00C3515F">
        <w:rPr>
          <w:rFonts w:ascii="Times New Roman" w:hAnsi="Times New Roman"/>
          <w:b/>
          <w:sz w:val="24"/>
        </w:rPr>
        <w:t>well</w:t>
      </w:r>
      <w:r w:rsidRPr="00C3515F">
        <w:rPr>
          <w:rFonts w:ascii="Times New Roman" w:hAnsi="Times New Roman"/>
          <w:sz w:val="24"/>
        </w:rPr>
        <w:t xml:space="preserve"> and reasons why: </w:t>
      </w:r>
    </w:p>
    <w:p w14:paraId="511613A2" w14:textId="77777777" w:rsidR="009C445A" w:rsidRPr="000E4468" w:rsidRDefault="009C445A" w:rsidP="00296BE1">
      <w:pPr>
        <w:numPr>
          <w:ilvl w:val="0"/>
          <w:numId w:val="6"/>
        </w:numPr>
        <w:spacing w:after="0" w:line="240" w:lineRule="auto"/>
        <w:ind w:left="1440" w:hanging="540"/>
        <w:jc w:val="both"/>
        <w:rPr>
          <w:rFonts w:ascii="Times New Roman" w:hAnsi="Times New Roman"/>
          <w:sz w:val="24"/>
        </w:rPr>
      </w:pPr>
      <w:r w:rsidRPr="000E4468">
        <w:rPr>
          <w:rFonts w:ascii="Times New Roman" w:hAnsi="Times New Roman"/>
          <w:sz w:val="24"/>
        </w:rPr>
        <w:t>You made some fantastic improvements to your first draft.  Your analysis is more nuanced and sophisticated, your organization and ideas are clearer, and your memo is much more persuasive.  You did a particularly nice job developing your plain-language arguments by incorporating other sections of the Copyright Act and rebutting anticipated counterarguments.</w:t>
      </w:r>
      <w:r>
        <w:rPr>
          <w:rFonts w:ascii="Times New Roman" w:hAnsi="Times New Roman"/>
          <w:sz w:val="24"/>
        </w:rPr>
        <w:t xml:space="preserve">  Thanks for your hard work this year!</w:t>
      </w:r>
    </w:p>
    <w:p w14:paraId="56FC1879" w14:textId="77777777" w:rsidR="009C445A" w:rsidRPr="003674C3" w:rsidRDefault="009C445A" w:rsidP="003674C3">
      <w:pPr>
        <w:spacing w:after="0" w:line="240" w:lineRule="auto"/>
        <w:ind w:left="1440"/>
        <w:jc w:val="both"/>
        <w:rPr>
          <w:rFonts w:ascii="Times New Roman" w:hAnsi="Times New Roman"/>
          <w:color w:val="FF0000"/>
          <w:sz w:val="24"/>
        </w:rPr>
      </w:pPr>
    </w:p>
    <w:p w14:paraId="2043C602" w14:textId="77777777" w:rsidR="009C445A" w:rsidRPr="00296BE1" w:rsidRDefault="009C445A" w:rsidP="003674C3">
      <w:pPr>
        <w:spacing w:after="0" w:line="240" w:lineRule="auto"/>
        <w:rPr>
          <w:rFonts w:ascii="Times New Roman" w:hAnsi="Times New Roman"/>
          <w:sz w:val="24"/>
        </w:rPr>
      </w:pPr>
      <w:r w:rsidRPr="00296BE1">
        <w:rPr>
          <w:rFonts w:ascii="Times New Roman" w:hAnsi="Times New Roman"/>
          <w:sz w:val="24"/>
        </w:rPr>
        <w:t xml:space="preserve">One or two of the most important aspects that could be </w:t>
      </w:r>
      <w:r w:rsidRPr="00296BE1">
        <w:rPr>
          <w:rFonts w:ascii="Times New Roman" w:hAnsi="Times New Roman"/>
          <w:b/>
          <w:sz w:val="24"/>
        </w:rPr>
        <w:t>improved</w:t>
      </w:r>
      <w:r w:rsidRPr="00296BE1">
        <w:rPr>
          <w:rFonts w:ascii="Times New Roman" w:hAnsi="Times New Roman"/>
          <w:sz w:val="24"/>
        </w:rPr>
        <w:t xml:space="preserve"> and reasons why: </w:t>
      </w:r>
    </w:p>
    <w:p w14:paraId="630FEB5A" w14:textId="77777777" w:rsidR="009C445A" w:rsidRPr="003674C3" w:rsidRDefault="009C445A" w:rsidP="003674C3">
      <w:pPr>
        <w:spacing w:after="0" w:line="240" w:lineRule="auto"/>
        <w:ind w:left="1440"/>
        <w:jc w:val="both"/>
        <w:rPr>
          <w:rFonts w:ascii="Times New Roman" w:hAnsi="Times New Roman"/>
          <w:color w:val="FF0000"/>
          <w:sz w:val="24"/>
        </w:rPr>
      </w:pPr>
    </w:p>
    <w:p w14:paraId="74C4D779" w14:textId="77777777" w:rsidR="009C445A" w:rsidRPr="00296BE1" w:rsidRDefault="009C445A" w:rsidP="003674C3">
      <w:pPr>
        <w:numPr>
          <w:ilvl w:val="0"/>
          <w:numId w:val="6"/>
        </w:numPr>
        <w:spacing w:after="0" w:line="240" w:lineRule="auto"/>
        <w:ind w:left="1440" w:hanging="540"/>
        <w:jc w:val="both"/>
        <w:rPr>
          <w:rFonts w:ascii="Times New Roman" w:hAnsi="Times New Roman"/>
          <w:sz w:val="24"/>
        </w:rPr>
      </w:pPr>
      <w:r w:rsidRPr="00296BE1">
        <w:rPr>
          <w:rFonts w:ascii="Times New Roman" w:hAnsi="Times New Roman"/>
          <w:sz w:val="24"/>
        </w:rPr>
        <w:t xml:space="preserve">Continue to work on </w:t>
      </w:r>
      <w:r>
        <w:rPr>
          <w:rFonts w:ascii="Times New Roman" w:hAnsi="Times New Roman"/>
          <w:sz w:val="24"/>
        </w:rPr>
        <w:t>stating your ideas succinctly and clearly.  Look for ways to say the same things using fewer words.  Also, in a few spots, you provide too much detail in making some of your alternative arguments.  The result can be that the analysis loses its focus and seems to stray too far from our central legal issue.</w:t>
      </w:r>
    </w:p>
    <w:p w14:paraId="3E8B3FDB" w14:textId="77777777" w:rsidR="009C445A" w:rsidRPr="003674C3" w:rsidRDefault="009C445A" w:rsidP="003674C3">
      <w:pPr>
        <w:spacing w:after="0" w:line="240" w:lineRule="auto"/>
        <w:ind w:left="1440"/>
        <w:jc w:val="both"/>
        <w:rPr>
          <w:rFonts w:ascii="Times New Roman" w:hAnsi="Times New Roman"/>
          <w:color w:val="FF0000"/>
          <w:sz w:val="24"/>
        </w:rPr>
      </w:pPr>
    </w:p>
    <w:p w14:paraId="7F1D9AFB" w14:textId="77777777" w:rsidR="009C445A" w:rsidRDefault="009C445A" w:rsidP="00296BE1">
      <w:pPr>
        <w:numPr>
          <w:ilvl w:val="0"/>
          <w:numId w:val="6"/>
        </w:numPr>
        <w:spacing w:after="0" w:line="240" w:lineRule="auto"/>
        <w:ind w:left="1440" w:hanging="540"/>
        <w:jc w:val="both"/>
        <w:rPr>
          <w:rFonts w:ascii="Times New Roman" w:hAnsi="Times New Roman"/>
          <w:sz w:val="24"/>
        </w:rPr>
      </w:pPr>
      <w:r>
        <w:rPr>
          <w:rFonts w:ascii="Times New Roman" w:hAnsi="Times New Roman"/>
          <w:sz w:val="24"/>
        </w:rPr>
        <w:t>While you made some improvements from the first draft, c</w:t>
      </w:r>
      <w:r w:rsidRPr="00296BE1">
        <w:rPr>
          <w:rFonts w:ascii="Times New Roman" w:hAnsi="Times New Roman"/>
          <w:sz w:val="24"/>
        </w:rPr>
        <w:t>ontinue t</w:t>
      </w:r>
      <w:r>
        <w:rPr>
          <w:rFonts w:ascii="Times New Roman" w:hAnsi="Times New Roman"/>
          <w:sz w:val="24"/>
        </w:rPr>
        <w:t>o work on your case citations, particularly incorporation of the deciding court and abbreviations.</w:t>
      </w:r>
    </w:p>
    <w:p w14:paraId="2DCF9B00" w14:textId="77777777" w:rsidR="009C445A" w:rsidRPr="00296BE1" w:rsidRDefault="009C445A" w:rsidP="00296BE1">
      <w:pPr>
        <w:spacing w:after="0" w:line="240" w:lineRule="auto"/>
        <w:ind w:left="1440"/>
        <w:rPr>
          <w:rFonts w:ascii="Times New Roman" w:hAnsi="Times New Roman"/>
          <w:sz w:val="24"/>
        </w:rPr>
      </w:pPr>
    </w:p>
    <w:p w14:paraId="107A26BF" w14:textId="77777777" w:rsidR="009C445A" w:rsidRDefault="009C445A" w:rsidP="00E96246">
      <w:pPr>
        <w:spacing w:after="0"/>
        <w:jc w:val="center"/>
        <w:rPr>
          <w:rFonts w:ascii="Times New Roman" w:hAnsi="Times New Roman"/>
          <w:sz w:val="24"/>
        </w:rPr>
        <w:sectPr w:rsidR="009C445A">
          <w:pgSz w:w="12240" w:h="15840"/>
          <w:pgMar w:top="1440" w:right="1440" w:bottom="1440" w:left="1440" w:header="720" w:footer="720" w:gutter="0"/>
          <w:cols w:space="720"/>
          <w:docGrid w:linePitch="360"/>
        </w:sectPr>
      </w:pPr>
    </w:p>
    <w:p w14:paraId="392D1566" w14:textId="77777777" w:rsidR="009C445A" w:rsidRDefault="009C445A" w:rsidP="00E96246">
      <w:pPr>
        <w:spacing w:after="0"/>
        <w:jc w:val="center"/>
        <w:rPr>
          <w:rFonts w:ascii="Times New Roman" w:hAnsi="Times New Roman"/>
          <w:sz w:val="24"/>
        </w:rPr>
      </w:pPr>
      <w:r>
        <w:rPr>
          <w:rFonts w:ascii="Times New Roman" w:hAnsi="Times New Roman"/>
          <w:sz w:val="24"/>
        </w:rPr>
        <w:lastRenderedPageBreak/>
        <w:t>UNITED STATES DISTRICT COURT</w:t>
      </w:r>
    </w:p>
    <w:p w14:paraId="119AC3BF" w14:textId="77777777" w:rsidR="009C445A" w:rsidRPr="00E96246" w:rsidRDefault="009C445A" w:rsidP="00E96246">
      <w:pPr>
        <w:spacing w:after="0"/>
        <w:jc w:val="center"/>
        <w:rPr>
          <w:rFonts w:ascii="Times New Roman" w:hAnsi="Times New Roman"/>
          <w:sz w:val="24"/>
        </w:rPr>
      </w:pPr>
      <w:r w:rsidRPr="00E96246">
        <w:rPr>
          <w:rFonts w:ascii="Times New Roman" w:hAnsi="Times New Roman"/>
          <w:sz w:val="24"/>
        </w:rPr>
        <w:t>DISTRICT OF MOOT</w:t>
      </w:r>
    </w:p>
    <w:p w14:paraId="79543A1E" w14:textId="77777777" w:rsidR="009C445A" w:rsidRPr="00E96246" w:rsidRDefault="009C445A" w:rsidP="00E96246">
      <w:pPr>
        <w:spacing w:after="0"/>
        <w:jc w:val="center"/>
        <w:rPr>
          <w:rFonts w:ascii="Times New Roman" w:hAnsi="Times New Roman"/>
          <w:sz w:val="24"/>
        </w:rPr>
      </w:pPr>
    </w:p>
    <w:tbl>
      <w:tblPr>
        <w:tblpPr w:leftFromText="180" w:rightFromText="180" w:vertAnchor="text" w:horzAnchor="margin" w:tblpY="-80"/>
        <w:tblW w:w="0" w:type="auto"/>
        <w:tblBorders>
          <w:top w:val="single" w:sz="8" w:space="0" w:color="000000"/>
          <w:bottom w:val="single" w:sz="8" w:space="0" w:color="000000"/>
        </w:tblBorders>
        <w:tblLook w:val="00A0" w:firstRow="1" w:lastRow="0" w:firstColumn="1" w:lastColumn="0" w:noHBand="0" w:noVBand="0"/>
      </w:tblPr>
      <w:tblGrid>
        <w:gridCol w:w="4788"/>
        <w:gridCol w:w="4788"/>
      </w:tblGrid>
      <w:tr w:rsidR="009C445A" w:rsidRPr="00D576A1" w14:paraId="75C5AC4E" w14:textId="77777777">
        <w:tc>
          <w:tcPr>
            <w:tcW w:w="4788" w:type="dxa"/>
            <w:tcBorders>
              <w:top w:val="single" w:sz="8" w:space="0" w:color="000000"/>
              <w:left w:val="nil"/>
              <w:bottom w:val="single" w:sz="8" w:space="0" w:color="000000"/>
              <w:right w:val="nil"/>
            </w:tcBorders>
          </w:tcPr>
          <w:p w14:paraId="2F4698E5" w14:textId="77777777" w:rsidR="009C445A" w:rsidRPr="00484D13" w:rsidRDefault="009C445A" w:rsidP="0074377D">
            <w:pPr>
              <w:spacing w:after="0" w:line="240" w:lineRule="auto"/>
              <w:rPr>
                <w:rFonts w:ascii="Times New Roman" w:hAnsi="Times New Roman"/>
                <w:b/>
                <w:bCs/>
                <w:color w:val="000000"/>
                <w:sz w:val="24"/>
              </w:rPr>
            </w:pPr>
          </w:p>
          <w:p w14:paraId="426456BE" w14:textId="77777777" w:rsidR="009C445A" w:rsidRPr="003674C3" w:rsidRDefault="009C445A" w:rsidP="0074377D">
            <w:pPr>
              <w:spacing w:after="0" w:line="240" w:lineRule="auto"/>
              <w:rPr>
                <w:rFonts w:ascii="Times New Roman" w:hAnsi="Times New Roman"/>
                <w:bCs/>
                <w:color w:val="000000"/>
                <w:sz w:val="24"/>
              </w:rPr>
            </w:pPr>
            <w:r w:rsidRPr="00484D13">
              <w:rPr>
                <w:rFonts w:ascii="Times New Roman" w:hAnsi="Times New Roman"/>
                <w:b/>
                <w:color w:val="000000"/>
                <w:sz w:val="24"/>
              </w:rPr>
              <w:t>OGS TV, Inc.</w:t>
            </w:r>
          </w:p>
          <w:p w14:paraId="1E6090CA" w14:textId="77777777" w:rsidR="009C445A" w:rsidRPr="003674C3" w:rsidRDefault="009C445A" w:rsidP="0074377D">
            <w:pPr>
              <w:spacing w:after="0" w:line="240" w:lineRule="auto"/>
              <w:rPr>
                <w:rFonts w:ascii="Times New Roman" w:hAnsi="Times New Roman"/>
                <w:bCs/>
                <w:color w:val="000000"/>
                <w:sz w:val="24"/>
              </w:rPr>
            </w:pPr>
          </w:p>
          <w:p w14:paraId="799F6015" w14:textId="77777777" w:rsidR="009C445A" w:rsidRPr="003674C3" w:rsidRDefault="009C445A" w:rsidP="0074377D">
            <w:pPr>
              <w:spacing w:after="0" w:line="240" w:lineRule="auto"/>
              <w:rPr>
                <w:rFonts w:ascii="Times New Roman" w:hAnsi="Times New Roman"/>
                <w:bCs/>
                <w:color w:val="000000"/>
                <w:sz w:val="24"/>
              </w:rPr>
            </w:pPr>
            <w:r w:rsidRPr="003674C3">
              <w:rPr>
                <w:rFonts w:ascii="Times New Roman" w:hAnsi="Times New Roman"/>
                <w:color w:val="000000"/>
                <w:sz w:val="24"/>
              </w:rPr>
              <w:t xml:space="preserve">                       Plaintiff,</w:t>
            </w:r>
          </w:p>
          <w:p w14:paraId="72360980" w14:textId="77777777" w:rsidR="009C445A" w:rsidRPr="003674C3" w:rsidRDefault="009C445A" w:rsidP="0074377D">
            <w:pPr>
              <w:spacing w:after="0" w:line="240" w:lineRule="auto"/>
              <w:rPr>
                <w:rFonts w:ascii="Times New Roman" w:hAnsi="Times New Roman"/>
                <w:bCs/>
                <w:color w:val="000000"/>
                <w:sz w:val="24"/>
              </w:rPr>
            </w:pPr>
          </w:p>
          <w:p w14:paraId="1E1767B7" w14:textId="77777777" w:rsidR="009C445A" w:rsidRPr="003674C3" w:rsidRDefault="009C445A" w:rsidP="0074377D">
            <w:pPr>
              <w:spacing w:after="0" w:line="240" w:lineRule="auto"/>
              <w:rPr>
                <w:rFonts w:ascii="Times New Roman" w:hAnsi="Times New Roman"/>
                <w:bCs/>
                <w:color w:val="000000"/>
                <w:sz w:val="24"/>
              </w:rPr>
            </w:pPr>
            <w:proofErr w:type="gramStart"/>
            <w:r w:rsidRPr="003674C3">
              <w:rPr>
                <w:rFonts w:ascii="Times New Roman" w:hAnsi="Times New Roman"/>
                <w:color w:val="000000"/>
                <w:sz w:val="24"/>
              </w:rPr>
              <w:t>v</w:t>
            </w:r>
            <w:proofErr w:type="gramEnd"/>
            <w:r w:rsidRPr="003674C3">
              <w:rPr>
                <w:rFonts w:ascii="Times New Roman" w:hAnsi="Times New Roman"/>
                <w:color w:val="000000"/>
                <w:sz w:val="24"/>
              </w:rPr>
              <w:t>.</w:t>
            </w:r>
          </w:p>
          <w:p w14:paraId="02F2A6D5" w14:textId="77777777" w:rsidR="009C445A" w:rsidRPr="003674C3" w:rsidRDefault="009C445A" w:rsidP="0074377D">
            <w:pPr>
              <w:spacing w:after="0" w:line="240" w:lineRule="auto"/>
              <w:rPr>
                <w:rFonts w:ascii="Times New Roman" w:hAnsi="Times New Roman"/>
                <w:bCs/>
                <w:color w:val="000000"/>
                <w:sz w:val="24"/>
              </w:rPr>
            </w:pPr>
          </w:p>
          <w:p w14:paraId="31F6FA91" w14:textId="77777777" w:rsidR="009C445A" w:rsidRPr="003674C3" w:rsidRDefault="009C445A" w:rsidP="0074377D">
            <w:pPr>
              <w:spacing w:after="0" w:line="240" w:lineRule="auto"/>
              <w:rPr>
                <w:rFonts w:ascii="Times New Roman" w:hAnsi="Times New Roman"/>
                <w:bCs/>
                <w:color w:val="000000"/>
                <w:sz w:val="24"/>
              </w:rPr>
            </w:pPr>
          </w:p>
          <w:p w14:paraId="6AF76790" w14:textId="77777777" w:rsidR="009C445A" w:rsidRPr="003674C3" w:rsidRDefault="009C445A" w:rsidP="0074377D">
            <w:pPr>
              <w:spacing w:after="0" w:line="240" w:lineRule="auto"/>
              <w:rPr>
                <w:rFonts w:ascii="Times New Roman" w:hAnsi="Times New Roman"/>
                <w:bCs/>
                <w:color w:val="000000"/>
                <w:sz w:val="24"/>
              </w:rPr>
            </w:pPr>
            <w:r w:rsidRPr="003674C3">
              <w:rPr>
                <w:rFonts w:ascii="Times New Roman" w:hAnsi="Times New Roman"/>
                <w:color w:val="000000"/>
                <w:sz w:val="24"/>
              </w:rPr>
              <w:t>Elizabeth Lime, and Tiny TV, Inc.</w:t>
            </w:r>
          </w:p>
          <w:p w14:paraId="304CFCD2" w14:textId="77777777" w:rsidR="009C445A" w:rsidRPr="003674C3" w:rsidRDefault="009C445A" w:rsidP="0074377D">
            <w:pPr>
              <w:spacing w:after="0" w:line="240" w:lineRule="auto"/>
              <w:rPr>
                <w:rFonts w:ascii="Times New Roman" w:hAnsi="Times New Roman"/>
                <w:bCs/>
                <w:color w:val="000000"/>
                <w:sz w:val="24"/>
              </w:rPr>
            </w:pPr>
            <w:r w:rsidRPr="003674C3">
              <w:rPr>
                <w:rFonts w:ascii="Times New Roman" w:hAnsi="Times New Roman"/>
                <w:color w:val="000000"/>
                <w:sz w:val="24"/>
              </w:rPr>
              <w:t xml:space="preserve">                       </w:t>
            </w:r>
          </w:p>
          <w:p w14:paraId="148BC15C" w14:textId="77777777" w:rsidR="009C445A" w:rsidRPr="003674C3" w:rsidRDefault="009C445A" w:rsidP="0074377D">
            <w:pPr>
              <w:spacing w:after="0" w:line="240" w:lineRule="auto"/>
              <w:rPr>
                <w:rFonts w:ascii="Times New Roman" w:hAnsi="Times New Roman"/>
                <w:bCs/>
                <w:color w:val="000000"/>
                <w:sz w:val="24"/>
              </w:rPr>
            </w:pPr>
            <w:r w:rsidRPr="003674C3">
              <w:rPr>
                <w:rFonts w:ascii="Times New Roman" w:hAnsi="Times New Roman"/>
                <w:color w:val="000000"/>
                <w:sz w:val="24"/>
              </w:rPr>
              <w:t xml:space="preserve">                     Defendants.</w:t>
            </w:r>
          </w:p>
          <w:p w14:paraId="50859B52" w14:textId="77777777" w:rsidR="009C445A" w:rsidRPr="003674C3" w:rsidRDefault="009C445A" w:rsidP="0074377D">
            <w:pPr>
              <w:spacing w:after="0" w:line="240" w:lineRule="auto"/>
              <w:rPr>
                <w:rFonts w:ascii="Times New Roman" w:hAnsi="Times New Roman"/>
                <w:bCs/>
                <w:color w:val="000000"/>
                <w:sz w:val="24"/>
              </w:rPr>
            </w:pPr>
          </w:p>
        </w:tc>
        <w:tc>
          <w:tcPr>
            <w:tcW w:w="4788" w:type="dxa"/>
            <w:tcBorders>
              <w:top w:val="single" w:sz="8" w:space="0" w:color="000000"/>
              <w:left w:val="nil"/>
              <w:bottom w:val="single" w:sz="8" w:space="0" w:color="000000"/>
              <w:right w:val="nil"/>
            </w:tcBorders>
          </w:tcPr>
          <w:p w14:paraId="30A47BC5" w14:textId="77777777" w:rsidR="009C445A" w:rsidRPr="0074377D" w:rsidRDefault="009C445A" w:rsidP="0074377D">
            <w:pPr>
              <w:spacing w:after="0" w:line="240" w:lineRule="auto"/>
              <w:jc w:val="right"/>
              <w:rPr>
                <w:rFonts w:ascii="Times New Roman" w:hAnsi="Times New Roman"/>
                <w:b/>
                <w:bCs/>
                <w:color w:val="000000"/>
                <w:sz w:val="24"/>
              </w:rPr>
            </w:pPr>
          </w:p>
          <w:p w14:paraId="312D0C62" w14:textId="77777777" w:rsidR="009C445A" w:rsidRDefault="009C445A" w:rsidP="0074377D">
            <w:pPr>
              <w:spacing w:after="0" w:line="240" w:lineRule="auto"/>
              <w:jc w:val="right"/>
              <w:rPr>
                <w:rFonts w:ascii="Times New Roman" w:hAnsi="Times New Roman"/>
                <w:bCs/>
                <w:color w:val="000000"/>
                <w:sz w:val="24"/>
              </w:rPr>
            </w:pPr>
          </w:p>
          <w:p w14:paraId="2840E0F2" w14:textId="77777777" w:rsidR="009C445A" w:rsidRDefault="009C445A" w:rsidP="0074377D">
            <w:pPr>
              <w:spacing w:after="0" w:line="240" w:lineRule="auto"/>
              <w:jc w:val="right"/>
              <w:rPr>
                <w:rFonts w:ascii="Times New Roman" w:hAnsi="Times New Roman"/>
                <w:bCs/>
                <w:color w:val="000000"/>
                <w:sz w:val="24"/>
              </w:rPr>
            </w:pPr>
          </w:p>
          <w:p w14:paraId="5C02797B" w14:textId="77777777" w:rsidR="009C445A" w:rsidRPr="0074377D" w:rsidRDefault="009C445A" w:rsidP="0074377D">
            <w:pPr>
              <w:spacing w:after="0" w:line="240" w:lineRule="auto"/>
              <w:jc w:val="right"/>
              <w:rPr>
                <w:rFonts w:ascii="Times New Roman" w:hAnsi="Times New Roman"/>
                <w:b/>
                <w:bCs/>
                <w:color w:val="000000"/>
                <w:sz w:val="24"/>
              </w:rPr>
            </w:pPr>
            <w:r w:rsidRPr="0074377D">
              <w:rPr>
                <w:rFonts w:ascii="Times New Roman" w:hAnsi="Times New Roman"/>
                <w:bCs/>
                <w:color w:val="000000"/>
                <w:sz w:val="24"/>
              </w:rPr>
              <w:t>Court File No. 27-CV-12-1234</w:t>
            </w:r>
          </w:p>
          <w:p w14:paraId="65FB4E28" w14:textId="77777777" w:rsidR="009C445A" w:rsidRPr="0074377D" w:rsidRDefault="009C445A" w:rsidP="002B375A">
            <w:pPr>
              <w:spacing w:after="0" w:line="240" w:lineRule="auto"/>
              <w:rPr>
                <w:rFonts w:ascii="Times New Roman" w:hAnsi="Times New Roman"/>
                <w:b/>
                <w:bCs/>
                <w:color w:val="000000"/>
                <w:sz w:val="24"/>
              </w:rPr>
            </w:pPr>
          </w:p>
          <w:p w14:paraId="74F232A3" w14:textId="77777777" w:rsidR="009C445A" w:rsidRPr="0074377D" w:rsidRDefault="009C445A" w:rsidP="0074377D">
            <w:pPr>
              <w:spacing w:after="0" w:line="240" w:lineRule="auto"/>
              <w:jc w:val="right"/>
              <w:rPr>
                <w:rFonts w:ascii="Times New Roman" w:hAnsi="Times New Roman"/>
                <w:b/>
                <w:bCs/>
                <w:color w:val="000000"/>
                <w:sz w:val="24"/>
              </w:rPr>
            </w:pPr>
          </w:p>
          <w:p w14:paraId="0A8D9CD1" w14:textId="77777777" w:rsidR="009C445A" w:rsidRPr="0074377D" w:rsidRDefault="009C445A" w:rsidP="00111817">
            <w:pPr>
              <w:spacing w:after="0" w:line="240" w:lineRule="auto"/>
              <w:jc w:val="right"/>
              <w:rPr>
                <w:rFonts w:ascii="Times New Roman" w:hAnsi="Times New Roman"/>
                <w:b/>
                <w:bCs/>
                <w:color w:val="000000"/>
                <w:sz w:val="24"/>
              </w:rPr>
            </w:pPr>
            <w:r w:rsidRPr="0074377D">
              <w:rPr>
                <w:rFonts w:ascii="Times New Roman" w:hAnsi="Times New Roman"/>
                <w:b/>
                <w:bCs/>
                <w:color w:val="000000"/>
                <w:sz w:val="24"/>
              </w:rPr>
              <w:t xml:space="preserve">Defendant’s Memorandum of Law in Support of </w:t>
            </w:r>
            <w:r>
              <w:rPr>
                <w:rFonts w:ascii="Times New Roman" w:hAnsi="Times New Roman"/>
                <w:b/>
                <w:bCs/>
                <w:color w:val="000000"/>
                <w:sz w:val="24"/>
              </w:rPr>
              <w:t>Judgment on the Pleadings</w:t>
            </w:r>
            <w:r w:rsidRPr="0074377D">
              <w:rPr>
                <w:rFonts w:ascii="Times New Roman" w:hAnsi="Times New Roman"/>
                <w:b/>
                <w:bCs/>
                <w:color w:val="000000"/>
                <w:sz w:val="24"/>
              </w:rPr>
              <w:t xml:space="preserve"> </w:t>
            </w:r>
          </w:p>
        </w:tc>
      </w:tr>
    </w:tbl>
    <w:p w14:paraId="3B7016E2" w14:textId="77777777" w:rsidR="009C445A" w:rsidRDefault="009C445A" w:rsidP="00841C79">
      <w:pPr>
        <w:spacing w:after="0" w:line="480" w:lineRule="auto"/>
        <w:ind w:firstLine="720"/>
        <w:rPr>
          <w:rFonts w:ascii="Times New Roman" w:hAnsi="Times New Roman"/>
          <w:sz w:val="24"/>
        </w:rPr>
      </w:pPr>
      <w:r>
        <w:rPr>
          <w:rFonts w:ascii="Times New Roman" w:hAnsi="Times New Roman"/>
          <w:sz w:val="24"/>
        </w:rPr>
        <w:t xml:space="preserve">Pursuant to the Court’s Order dated January 23, 2012, Defendants Elizabeth Lime and Tiny TV, Inc., submit the following memorandum in support of judgment on the pleadings according to Fed. </w:t>
      </w:r>
      <w:proofErr w:type="gramStart"/>
      <w:r>
        <w:rPr>
          <w:rFonts w:ascii="Times New Roman" w:hAnsi="Times New Roman"/>
          <w:sz w:val="24"/>
        </w:rPr>
        <w:t>R. Civ. P. 12(c), and request that the court dismiss Plaintiff’s complaint.</w:t>
      </w:r>
      <w:proofErr w:type="gramEnd"/>
      <w:r>
        <w:rPr>
          <w:rFonts w:ascii="Times New Roman" w:hAnsi="Times New Roman"/>
          <w:sz w:val="24"/>
        </w:rPr>
        <w:t xml:space="preserve"> </w:t>
      </w:r>
    </w:p>
    <w:p w14:paraId="562AC154" w14:textId="77777777" w:rsidR="009C445A" w:rsidRDefault="009C445A" w:rsidP="004C5E9A">
      <w:pPr>
        <w:spacing w:after="0" w:line="240" w:lineRule="auto"/>
        <w:jc w:val="center"/>
        <w:rPr>
          <w:rFonts w:ascii="Times New Roman" w:hAnsi="Times New Roman"/>
          <w:b/>
          <w:sz w:val="24"/>
        </w:rPr>
      </w:pPr>
      <w:r>
        <w:rPr>
          <w:rFonts w:ascii="Times New Roman" w:hAnsi="Times New Roman"/>
          <w:b/>
          <w:sz w:val="24"/>
        </w:rPr>
        <w:t>INTRODUCTION</w:t>
      </w:r>
    </w:p>
    <w:p w14:paraId="41479C91" w14:textId="77777777" w:rsidR="009C445A" w:rsidRDefault="009C445A" w:rsidP="004C5E9A">
      <w:pPr>
        <w:spacing w:after="0" w:line="240" w:lineRule="auto"/>
        <w:jc w:val="center"/>
        <w:rPr>
          <w:rFonts w:ascii="Times New Roman" w:hAnsi="Times New Roman"/>
          <w:b/>
          <w:sz w:val="24"/>
        </w:rPr>
      </w:pPr>
    </w:p>
    <w:p w14:paraId="734E3379" w14:textId="77777777" w:rsidR="009C445A" w:rsidRDefault="009C445A" w:rsidP="004C5E9A">
      <w:pPr>
        <w:spacing w:after="0" w:line="480" w:lineRule="auto"/>
        <w:rPr>
          <w:rFonts w:ascii="Times New Roman" w:hAnsi="Times New Roman"/>
          <w:sz w:val="24"/>
        </w:rPr>
      </w:pPr>
      <w:r>
        <w:rPr>
          <w:rFonts w:ascii="Times New Roman" w:hAnsi="Times New Roman"/>
          <w:sz w:val="24"/>
        </w:rPr>
        <w:tab/>
        <w:t>Defendants Elizabeth Lime, a screenwriter, and Tiny TV, Inc. (Tiny) request judgment on the pleadings in their favor. OGS claims the screenplay for the television episode “</w:t>
      </w:r>
      <w:r w:rsidRPr="00CF32F2">
        <w:rPr>
          <w:rFonts w:ascii="Times New Roman" w:hAnsi="Times New Roman"/>
          <w:sz w:val="24"/>
        </w:rPr>
        <w:t>Anticipatory Repudiation</w:t>
      </w:r>
      <w:r>
        <w:rPr>
          <w:rFonts w:ascii="Times New Roman" w:hAnsi="Times New Roman"/>
          <w:sz w:val="24"/>
        </w:rPr>
        <w:t xml:space="preserve">” was a “work for hire” under the Copyright Act, 17 U.S.C. § 101(2), and OGS is therefore the owner of the copyright. “Anticipatory Repudiation” was conceived and written by Lime. As the creator, Lime is the author and owner of the copyright, under 17 U.S.C. §201(a). Because Lime and OGS did not sign an express written agreement before Lime wrote the screenplay, the parties did not enter a “work for hire” arrangement, as defined by 17 U.S.C. §01(2). </w:t>
      </w:r>
      <w:proofErr w:type="gramStart"/>
      <w:r>
        <w:rPr>
          <w:rFonts w:ascii="Times New Roman" w:hAnsi="Times New Roman"/>
          <w:sz w:val="24"/>
        </w:rPr>
        <w:t>he</w:t>
      </w:r>
      <w:proofErr w:type="gramEnd"/>
      <w:r>
        <w:rPr>
          <w:rFonts w:ascii="Times New Roman" w:hAnsi="Times New Roman"/>
          <w:sz w:val="24"/>
        </w:rPr>
        <w:t xml:space="preserve"> </w:t>
      </w:r>
      <w:proofErr w:type="spellStart"/>
      <w:r>
        <w:rPr>
          <w:rFonts w:ascii="Times New Roman" w:hAnsi="Times New Roman"/>
          <w:sz w:val="24"/>
        </w:rPr>
        <w:t>ourt</w:t>
      </w:r>
      <w:proofErr w:type="spellEnd"/>
      <w:r>
        <w:rPr>
          <w:rFonts w:ascii="Times New Roman" w:hAnsi="Times New Roman"/>
          <w:sz w:val="24"/>
        </w:rPr>
        <w:t xml:space="preserve"> enter judgment in  favor and dismiss the plaintiff’s complaint.</w:t>
      </w:r>
    </w:p>
    <w:p w14:paraId="1A19B021" w14:textId="77777777" w:rsidR="009C445A" w:rsidRDefault="009C445A" w:rsidP="00762D8C">
      <w:pPr>
        <w:spacing w:after="0" w:line="240" w:lineRule="auto"/>
        <w:jc w:val="center"/>
        <w:rPr>
          <w:rFonts w:ascii="Times New Roman" w:hAnsi="Times New Roman"/>
          <w:b/>
          <w:sz w:val="24"/>
        </w:rPr>
      </w:pPr>
    </w:p>
    <w:p w14:paraId="6686AF89" w14:textId="77777777" w:rsidR="009C445A" w:rsidRDefault="009C445A" w:rsidP="00762D8C">
      <w:pPr>
        <w:spacing w:after="0" w:line="240" w:lineRule="auto"/>
        <w:jc w:val="center"/>
        <w:rPr>
          <w:rFonts w:ascii="Times New Roman" w:hAnsi="Times New Roman"/>
          <w:b/>
          <w:sz w:val="24"/>
        </w:rPr>
      </w:pPr>
    </w:p>
    <w:p w14:paraId="58091AE5" w14:textId="77777777" w:rsidR="009C445A" w:rsidRDefault="009C445A" w:rsidP="00762D8C">
      <w:pPr>
        <w:spacing w:after="0" w:line="240" w:lineRule="auto"/>
        <w:jc w:val="center"/>
        <w:rPr>
          <w:rFonts w:ascii="Times New Roman" w:hAnsi="Times New Roman"/>
          <w:b/>
          <w:sz w:val="24"/>
        </w:rPr>
      </w:pPr>
    </w:p>
    <w:p w14:paraId="7059B441" w14:textId="77777777" w:rsidR="009C445A" w:rsidRDefault="009C445A" w:rsidP="00762D8C">
      <w:pPr>
        <w:spacing w:after="0" w:line="240" w:lineRule="auto"/>
        <w:jc w:val="center"/>
        <w:rPr>
          <w:rFonts w:ascii="Times New Roman" w:hAnsi="Times New Roman"/>
          <w:b/>
          <w:sz w:val="24"/>
        </w:rPr>
      </w:pPr>
      <w:r>
        <w:rPr>
          <w:rFonts w:ascii="Times New Roman" w:hAnsi="Times New Roman"/>
          <w:b/>
          <w:sz w:val="24"/>
        </w:rPr>
        <w:t>FACTS</w:t>
      </w:r>
    </w:p>
    <w:p w14:paraId="3C65257D" w14:textId="77777777" w:rsidR="009C445A" w:rsidRDefault="009C445A" w:rsidP="00762D8C">
      <w:pPr>
        <w:spacing w:after="0" w:line="240" w:lineRule="auto"/>
        <w:jc w:val="center"/>
        <w:rPr>
          <w:rFonts w:ascii="Times New Roman" w:hAnsi="Times New Roman"/>
          <w:b/>
          <w:sz w:val="24"/>
        </w:rPr>
      </w:pPr>
    </w:p>
    <w:p w14:paraId="0F5BFA44" w14:textId="77777777" w:rsidR="009C445A" w:rsidRPr="00CF32F2" w:rsidRDefault="009C445A" w:rsidP="00CF32F2">
      <w:pPr>
        <w:spacing w:after="0" w:line="480" w:lineRule="auto"/>
        <w:ind w:firstLine="720"/>
        <w:rPr>
          <w:rFonts w:ascii="Times New Roman" w:hAnsi="Times New Roman"/>
          <w:b/>
          <w:sz w:val="24"/>
        </w:rPr>
      </w:pPr>
      <w:r>
        <w:rPr>
          <w:rFonts w:ascii="Times New Roman" w:hAnsi="Times New Roman"/>
          <w:sz w:val="24"/>
        </w:rPr>
        <w:lastRenderedPageBreak/>
        <w:t xml:space="preserve">OGS created, produced, and aired the television series </w:t>
      </w:r>
      <w:r>
        <w:rPr>
          <w:rFonts w:ascii="Times New Roman" w:hAnsi="Times New Roman"/>
          <w:i/>
          <w:sz w:val="24"/>
        </w:rPr>
        <w:t>Lawless Love</w:t>
      </w:r>
      <w:r>
        <w:rPr>
          <w:rFonts w:ascii="Times New Roman" w:hAnsi="Times New Roman"/>
          <w:sz w:val="24"/>
        </w:rPr>
        <w:t xml:space="preserve">. </w:t>
      </w:r>
      <w:proofErr w:type="spellStart"/>
      <w:r>
        <w:rPr>
          <w:rFonts w:ascii="Times New Roman" w:hAnsi="Times New Roman"/>
          <w:sz w:val="24"/>
        </w:rPr>
        <w:t>Compl</w:t>
      </w:r>
      <w:proofErr w:type="spellEnd"/>
      <w:r>
        <w:rPr>
          <w:rFonts w:ascii="Times New Roman" w:hAnsi="Times New Roman"/>
          <w:sz w:val="24"/>
        </w:rPr>
        <w:t xml:space="preserve">. ¶ 5. On March 27, 2010, Dave Nelson, the executor producer of </w:t>
      </w:r>
      <w:r>
        <w:rPr>
          <w:rFonts w:ascii="Times New Roman" w:hAnsi="Times New Roman"/>
          <w:i/>
          <w:sz w:val="24"/>
        </w:rPr>
        <w:t>Lawless Love</w:t>
      </w:r>
      <w:r>
        <w:rPr>
          <w:rFonts w:ascii="Times New Roman" w:hAnsi="Times New Roman"/>
          <w:sz w:val="24"/>
        </w:rPr>
        <w:t xml:space="preserve"> and an employee of OGS, met with Lime to ask her to write a single episode for the series. </w:t>
      </w:r>
      <w:proofErr w:type="gramStart"/>
      <w:r>
        <w:rPr>
          <w:rFonts w:ascii="Times New Roman" w:hAnsi="Times New Roman"/>
          <w:i/>
          <w:sz w:val="24"/>
        </w:rPr>
        <w:t>Id.</w:t>
      </w:r>
      <w:r>
        <w:rPr>
          <w:rFonts w:ascii="Times New Roman" w:hAnsi="Times New Roman"/>
          <w:sz w:val="24"/>
        </w:rPr>
        <w:t xml:space="preserve"> ¶ 9.</w:t>
      </w:r>
      <w:proofErr w:type="gramEnd"/>
      <w:r>
        <w:rPr>
          <w:rFonts w:ascii="Times New Roman" w:hAnsi="Times New Roman"/>
          <w:sz w:val="24"/>
        </w:rPr>
        <w:t xml:space="preserve"> </w:t>
      </w:r>
    </w:p>
    <w:p w14:paraId="569CAB9D" w14:textId="77777777" w:rsidR="009C445A" w:rsidRPr="00BF1894" w:rsidRDefault="009C445A" w:rsidP="00CF32F2">
      <w:pPr>
        <w:spacing w:after="0" w:line="480" w:lineRule="auto"/>
        <w:ind w:firstLine="720"/>
        <w:rPr>
          <w:rFonts w:ascii="Times New Roman" w:hAnsi="Times New Roman"/>
          <w:sz w:val="24"/>
        </w:rPr>
      </w:pPr>
      <w:r>
        <w:rPr>
          <w:rFonts w:ascii="Times New Roman" w:hAnsi="Times New Roman"/>
          <w:sz w:val="24"/>
        </w:rPr>
        <w:t xml:space="preserve">During this meeting, Nelson and Lime orally agreed that she would write a screenplay for the TV series and that the screenplay would be a “work for hire.” </w:t>
      </w:r>
      <w:proofErr w:type="gramStart"/>
      <w:r>
        <w:rPr>
          <w:rFonts w:ascii="Times New Roman" w:hAnsi="Times New Roman"/>
          <w:i/>
          <w:sz w:val="24"/>
        </w:rPr>
        <w:t xml:space="preserve">Id. </w:t>
      </w:r>
      <w:r>
        <w:rPr>
          <w:rFonts w:ascii="Times New Roman" w:hAnsi="Times New Roman"/>
          <w:sz w:val="24"/>
        </w:rPr>
        <w:t>¶ 13.</w:t>
      </w:r>
      <w:proofErr w:type="gramEnd"/>
      <w:r>
        <w:rPr>
          <w:rFonts w:ascii="Times New Roman" w:hAnsi="Times New Roman"/>
          <w:sz w:val="24"/>
        </w:rPr>
        <w:t xml:space="preserve"> Nelson urged Lime to “get to work right away” and they could deal with the paperwork at some other time. </w:t>
      </w:r>
      <w:proofErr w:type="gramStart"/>
      <w:r>
        <w:rPr>
          <w:rFonts w:ascii="Times New Roman" w:hAnsi="Times New Roman"/>
          <w:i/>
          <w:sz w:val="24"/>
        </w:rPr>
        <w:t xml:space="preserve">Id. ¶ </w:t>
      </w:r>
      <w:r>
        <w:rPr>
          <w:rFonts w:ascii="Times New Roman" w:hAnsi="Times New Roman"/>
          <w:sz w:val="24"/>
        </w:rPr>
        <w:t>20.</w:t>
      </w:r>
      <w:proofErr w:type="gramEnd"/>
      <w:r>
        <w:rPr>
          <w:rFonts w:ascii="Times New Roman" w:hAnsi="Times New Roman"/>
          <w:sz w:val="24"/>
        </w:rPr>
        <w:t xml:space="preserve"> Per Nelson’s instructions, Lime began work immediately on the screenplay. </w:t>
      </w:r>
      <w:r w:rsidRPr="005B5482">
        <w:rPr>
          <w:rFonts w:ascii="Times New Roman" w:hAnsi="Times New Roman"/>
          <w:sz w:val="24"/>
        </w:rPr>
        <w:t>There</w:t>
      </w:r>
      <w:r>
        <w:rPr>
          <w:rFonts w:ascii="Times New Roman" w:hAnsi="Times New Roman"/>
          <w:sz w:val="24"/>
        </w:rPr>
        <w:t xml:space="preserve"> was no written agreement of any kind between Lime and OGS at this time. </w:t>
      </w:r>
      <w:proofErr w:type="gramStart"/>
      <w:r>
        <w:rPr>
          <w:rFonts w:ascii="Times New Roman" w:hAnsi="Times New Roman"/>
          <w:i/>
          <w:sz w:val="24"/>
        </w:rPr>
        <w:t>Id.</w:t>
      </w:r>
      <w:r>
        <w:rPr>
          <w:rFonts w:ascii="Times New Roman" w:hAnsi="Times New Roman"/>
          <w:sz w:val="24"/>
        </w:rPr>
        <w:t xml:space="preserve"> ¶¶ 13, 20.</w:t>
      </w:r>
      <w:proofErr w:type="gramEnd"/>
      <w:r>
        <w:rPr>
          <w:rFonts w:ascii="Times New Roman" w:hAnsi="Times New Roman"/>
          <w:sz w:val="24"/>
        </w:rPr>
        <w:t xml:space="preserve"> </w:t>
      </w:r>
    </w:p>
    <w:p w14:paraId="5370869E" w14:textId="77777777" w:rsidR="009C445A" w:rsidRDefault="009C445A" w:rsidP="00FD447D">
      <w:pPr>
        <w:spacing w:after="0" w:line="480" w:lineRule="auto"/>
        <w:ind w:firstLine="720"/>
        <w:rPr>
          <w:rFonts w:ascii="Times New Roman" w:hAnsi="Times New Roman"/>
          <w:sz w:val="24"/>
        </w:rPr>
      </w:pPr>
      <w:r>
        <w:rPr>
          <w:rFonts w:ascii="Times New Roman" w:hAnsi="Times New Roman"/>
          <w:sz w:val="24"/>
        </w:rPr>
        <w:t xml:space="preserve">On April 1, 2010 Lime submitted her screenplay “Anticipatory Repudiation” to OGS. </w:t>
      </w:r>
      <w:proofErr w:type="gramStart"/>
      <w:r>
        <w:rPr>
          <w:rFonts w:ascii="Times New Roman" w:hAnsi="Times New Roman"/>
          <w:i/>
          <w:sz w:val="24"/>
        </w:rPr>
        <w:t>Id.</w:t>
      </w:r>
      <w:r>
        <w:rPr>
          <w:rFonts w:ascii="Times New Roman" w:hAnsi="Times New Roman"/>
          <w:sz w:val="24"/>
        </w:rPr>
        <w:t xml:space="preserve"> ¶ 21.</w:t>
      </w:r>
      <w:proofErr w:type="gramEnd"/>
      <w:r>
        <w:rPr>
          <w:rFonts w:ascii="Times New Roman" w:hAnsi="Times New Roman"/>
          <w:sz w:val="24"/>
        </w:rPr>
        <w:t xml:space="preserve"> One day later, OGS, still before signing an agreement of any kind with Lime, applied for and received a certificate of registration for “Anticipatory Repudiation” from the Register of Copyrights. </w:t>
      </w:r>
      <w:proofErr w:type="gramStart"/>
      <w:r>
        <w:rPr>
          <w:rFonts w:ascii="Times New Roman" w:hAnsi="Times New Roman"/>
          <w:i/>
          <w:sz w:val="24"/>
        </w:rPr>
        <w:t xml:space="preserve">Id. </w:t>
      </w:r>
      <w:r>
        <w:rPr>
          <w:rFonts w:ascii="Times New Roman" w:hAnsi="Times New Roman"/>
          <w:sz w:val="24"/>
        </w:rPr>
        <w:t>¶ 22.</w:t>
      </w:r>
      <w:proofErr w:type="gramEnd"/>
      <w:r>
        <w:rPr>
          <w:rFonts w:ascii="Times New Roman" w:hAnsi="Times New Roman"/>
          <w:sz w:val="24"/>
        </w:rPr>
        <w:t xml:space="preserve"> On April 6, 2010, Lime picked up a check for $6,000 from the OGS office for her work on “Anticipatory Repudiation.” </w:t>
      </w:r>
      <w:proofErr w:type="gramStart"/>
      <w:r>
        <w:rPr>
          <w:rFonts w:ascii="Times New Roman" w:hAnsi="Times New Roman"/>
          <w:i/>
          <w:sz w:val="24"/>
        </w:rPr>
        <w:t xml:space="preserve">Id. </w:t>
      </w:r>
      <w:r>
        <w:rPr>
          <w:rFonts w:ascii="Times New Roman" w:hAnsi="Times New Roman"/>
          <w:sz w:val="24"/>
        </w:rPr>
        <w:t>¶ 24.</w:t>
      </w:r>
      <w:proofErr w:type="gramEnd"/>
      <w:r>
        <w:rPr>
          <w:rFonts w:ascii="Times New Roman" w:hAnsi="Times New Roman"/>
          <w:sz w:val="24"/>
        </w:rPr>
        <w:t xml:space="preserve"> </w:t>
      </w:r>
      <w:r w:rsidRPr="006619E1">
        <w:rPr>
          <w:rFonts w:ascii="Times New Roman" w:hAnsi="Times New Roman"/>
          <w:sz w:val="24"/>
        </w:rPr>
        <w:t>It</w:t>
      </w:r>
      <w:r>
        <w:rPr>
          <w:rFonts w:ascii="Times New Roman" w:hAnsi="Times New Roman"/>
          <w:sz w:val="24"/>
        </w:rPr>
        <w:t xml:space="preserve"> was at this time that she and Nelson signed a document labeled “Work-Made-For-Hire Agreement” </w:t>
      </w:r>
      <w:r>
        <w:rPr>
          <w:rFonts w:ascii="Times New Roman" w:hAnsi="Times New Roman"/>
          <w:i/>
          <w:sz w:val="24"/>
        </w:rPr>
        <w:t>Id.</w:t>
      </w:r>
      <w:r>
        <w:rPr>
          <w:rFonts w:ascii="Times New Roman" w:hAnsi="Times New Roman"/>
          <w:sz w:val="24"/>
        </w:rPr>
        <w:t xml:space="preserve"> ¶¶ 24, 25. It was therefore four days after Lime had written and submitted her work before OGS had a written agreement of any kind that the screenplay should be considered a “work for hire”.</w:t>
      </w:r>
    </w:p>
    <w:p w14:paraId="1EE93A69" w14:textId="77777777" w:rsidR="009C445A" w:rsidRPr="00E32B81" w:rsidRDefault="009C445A" w:rsidP="00BC40AA">
      <w:pPr>
        <w:spacing w:after="0" w:line="480" w:lineRule="auto"/>
        <w:ind w:firstLine="720"/>
        <w:rPr>
          <w:rFonts w:ascii="Times New Roman" w:hAnsi="Times New Roman"/>
          <w:sz w:val="24"/>
        </w:rPr>
      </w:pPr>
      <w:r>
        <w:rPr>
          <w:rFonts w:ascii="Times New Roman" w:hAnsi="Times New Roman"/>
          <w:sz w:val="24"/>
        </w:rPr>
        <w:t xml:space="preserve">In August 2010, the defendant Tiny approached Lime to create a new and original show, </w:t>
      </w:r>
      <w:r>
        <w:rPr>
          <w:rFonts w:ascii="Times New Roman" w:hAnsi="Times New Roman"/>
          <w:i/>
          <w:sz w:val="24"/>
        </w:rPr>
        <w:t>The Tin Can</w:t>
      </w:r>
      <w:r w:rsidRPr="005B5482">
        <w:rPr>
          <w:rFonts w:ascii="Times New Roman" w:hAnsi="Times New Roman"/>
          <w:sz w:val="24"/>
        </w:rPr>
        <w:t>.</w:t>
      </w:r>
      <w:r>
        <w:rPr>
          <w:rFonts w:ascii="Times New Roman" w:hAnsi="Times New Roman"/>
          <w:i/>
          <w:sz w:val="24"/>
        </w:rPr>
        <w:t xml:space="preserve"> Id. </w:t>
      </w:r>
      <w:r>
        <w:rPr>
          <w:rFonts w:ascii="Times New Roman" w:hAnsi="Times New Roman"/>
          <w:sz w:val="24"/>
        </w:rPr>
        <w:t xml:space="preserve">¶ 27. Working together, Lime and Tiny wrote a pilot episode, which was substantially based off of the work and ideas Lime had used for “Anticipatory Repudiation.” </w:t>
      </w:r>
      <w:proofErr w:type="gramStart"/>
      <w:r>
        <w:rPr>
          <w:rFonts w:ascii="Times New Roman" w:hAnsi="Times New Roman"/>
          <w:i/>
          <w:sz w:val="24"/>
        </w:rPr>
        <w:t>Id.</w:t>
      </w:r>
      <w:r>
        <w:rPr>
          <w:rFonts w:ascii="Times New Roman" w:hAnsi="Times New Roman"/>
          <w:sz w:val="24"/>
        </w:rPr>
        <w:t xml:space="preserve"> ¶¶ 28, 31.</w:t>
      </w:r>
      <w:proofErr w:type="gramEnd"/>
      <w:r>
        <w:rPr>
          <w:rFonts w:ascii="Times New Roman" w:hAnsi="Times New Roman"/>
          <w:sz w:val="24"/>
        </w:rPr>
        <w:t xml:space="preserve"> OGS saw the episode when it aired and subsequently filed this suit for copyright infringement against Lime and Tiny. </w:t>
      </w:r>
      <w:proofErr w:type="gramStart"/>
      <w:r>
        <w:rPr>
          <w:rFonts w:ascii="Times New Roman" w:hAnsi="Times New Roman"/>
          <w:i/>
          <w:sz w:val="24"/>
        </w:rPr>
        <w:t xml:space="preserve">Id. </w:t>
      </w:r>
      <w:r>
        <w:rPr>
          <w:rFonts w:ascii="Times New Roman" w:hAnsi="Times New Roman"/>
          <w:sz w:val="24"/>
        </w:rPr>
        <w:t>¶ 33.</w:t>
      </w:r>
      <w:proofErr w:type="gramEnd"/>
      <w:r>
        <w:rPr>
          <w:rFonts w:ascii="Times New Roman" w:hAnsi="Times New Roman"/>
          <w:sz w:val="24"/>
        </w:rPr>
        <w:t xml:space="preserve"> OGS </w:t>
      </w:r>
      <w:proofErr w:type="gramStart"/>
      <w:r>
        <w:rPr>
          <w:rFonts w:ascii="Times New Roman" w:hAnsi="Times New Roman"/>
          <w:sz w:val="24"/>
        </w:rPr>
        <w:t>seeks  display</w:t>
      </w:r>
      <w:proofErr w:type="gramEnd"/>
      <w:r>
        <w:rPr>
          <w:rFonts w:ascii="Times New Roman" w:hAnsi="Times New Roman"/>
          <w:sz w:val="24"/>
        </w:rPr>
        <w:t xml:space="preserve"> of </w:t>
      </w:r>
      <w:r>
        <w:rPr>
          <w:rFonts w:ascii="Times New Roman" w:hAnsi="Times New Roman"/>
          <w:i/>
          <w:sz w:val="24"/>
        </w:rPr>
        <w:t>The Tin Can</w:t>
      </w:r>
      <w:r>
        <w:rPr>
          <w:rFonts w:ascii="Times New Roman" w:hAnsi="Times New Roman"/>
          <w:sz w:val="24"/>
        </w:rPr>
        <w:t xml:space="preserve"> and $86,000 in damages. </w:t>
      </w:r>
      <w:proofErr w:type="gramStart"/>
      <w:r>
        <w:rPr>
          <w:rFonts w:ascii="Times New Roman" w:hAnsi="Times New Roman"/>
          <w:i/>
          <w:sz w:val="24"/>
        </w:rPr>
        <w:t>Id.</w:t>
      </w:r>
      <w:r>
        <w:rPr>
          <w:rFonts w:ascii="Times New Roman" w:hAnsi="Times New Roman"/>
          <w:sz w:val="24"/>
        </w:rPr>
        <w:t xml:space="preserve"> ¶¶34, 35.</w:t>
      </w:r>
      <w:proofErr w:type="gramEnd"/>
      <w:r>
        <w:rPr>
          <w:rFonts w:ascii="Times New Roman" w:hAnsi="Times New Roman"/>
          <w:sz w:val="24"/>
        </w:rPr>
        <w:t xml:space="preserve"> </w:t>
      </w:r>
    </w:p>
    <w:p w14:paraId="74728DE8" w14:textId="77777777" w:rsidR="009C445A" w:rsidRDefault="009C445A" w:rsidP="00D8580C">
      <w:pPr>
        <w:spacing w:after="0" w:line="480" w:lineRule="auto"/>
        <w:jc w:val="center"/>
        <w:rPr>
          <w:rFonts w:ascii="Times New Roman" w:hAnsi="Times New Roman"/>
          <w:b/>
          <w:sz w:val="24"/>
        </w:rPr>
      </w:pPr>
      <w:r>
        <w:rPr>
          <w:rFonts w:ascii="Times New Roman" w:hAnsi="Times New Roman"/>
          <w:b/>
          <w:sz w:val="24"/>
        </w:rPr>
        <w:t>ARGUMENT</w:t>
      </w:r>
    </w:p>
    <w:p w14:paraId="69BAED39" w14:textId="77777777" w:rsidR="009C445A" w:rsidRPr="00551C34" w:rsidRDefault="009C445A" w:rsidP="00D8580C">
      <w:pPr>
        <w:spacing w:after="0" w:line="480" w:lineRule="auto"/>
        <w:rPr>
          <w:rFonts w:ascii="Times New Roman" w:hAnsi="Times New Roman"/>
          <w:sz w:val="24"/>
        </w:rPr>
      </w:pPr>
      <w:r>
        <w:rPr>
          <w:rFonts w:ascii="Times New Roman" w:hAnsi="Times New Roman"/>
          <w:sz w:val="24"/>
        </w:rPr>
        <w:lastRenderedPageBreak/>
        <w:tab/>
        <w:t xml:space="preserve">Judgment on the pleadings is “appropriate where no material issue of fact remains to be resolved and the movant is entitled to judgment as a matter of law.” </w:t>
      </w:r>
      <w:hyperlink r:id="rId8" w:anchor="co_pp_sp_506_803" w:history="1">
        <w:proofErr w:type="spellStart"/>
        <w:proofErr w:type="gramStart"/>
        <w:r w:rsidRPr="00863986">
          <w:rPr>
            <w:rStyle w:val="Hyperlink"/>
            <w:rFonts w:ascii="Times New Roman" w:hAnsi="Times New Roman"/>
            <w:i/>
            <w:iCs/>
            <w:color w:val="auto"/>
            <w:sz w:val="24"/>
            <w:u w:val="none"/>
          </w:rPr>
          <w:t>Faibisch</w:t>
        </w:r>
        <w:proofErr w:type="spellEnd"/>
        <w:r w:rsidRPr="00863986">
          <w:rPr>
            <w:rStyle w:val="Hyperlink"/>
            <w:rFonts w:ascii="Times New Roman" w:hAnsi="Times New Roman"/>
            <w:i/>
            <w:iCs/>
            <w:color w:val="auto"/>
            <w:sz w:val="24"/>
            <w:u w:val="none"/>
          </w:rPr>
          <w:t xml:space="preserve"> v. Univ. of Minn.,</w:t>
        </w:r>
        <w:r w:rsidRPr="00863986">
          <w:rPr>
            <w:rStyle w:val="Hyperlink"/>
            <w:rFonts w:ascii="Times New Roman" w:hAnsi="Times New Roman"/>
            <w:color w:val="auto"/>
            <w:sz w:val="24"/>
            <w:u w:val="none"/>
          </w:rPr>
          <w:t xml:space="preserve"> 304 F.3d 797, 803 (8th Cir.</w:t>
        </w:r>
        <w:r>
          <w:rPr>
            <w:rStyle w:val="Hyperlink"/>
            <w:rFonts w:ascii="Times New Roman" w:hAnsi="Times New Roman"/>
            <w:color w:val="auto"/>
            <w:sz w:val="24"/>
            <w:u w:val="none"/>
          </w:rPr>
          <w:t xml:space="preserve"> </w:t>
        </w:r>
        <w:r w:rsidRPr="00863986">
          <w:rPr>
            <w:rStyle w:val="Hyperlink"/>
            <w:rFonts w:ascii="Times New Roman" w:hAnsi="Times New Roman"/>
            <w:color w:val="auto"/>
            <w:sz w:val="24"/>
            <w:u w:val="none"/>
          </w:rPr>
          <w:t>2002)</w:t>
        </w:r>
      </w:hyperlink>
      <w:r>
        <w:rPr>
          <w:rFonts w:ascii="Times New Roman" w:hAnsi="Times New Roman"/>
          <w:sz w:val="24"/>
        </w:rPr>
        <w:t>.</w:t>
      </w:r>
      <w:proofErr w:type="gramEnd"/>
      <w:r>
        <w:rPr>
          <w:rFonts w:ascii="Times New Roman" w:hAnsi="Times New Roman"/>
          <w:sz w:val="24"/>
        </w:rPr>
        <w:t xml:space="preserve"> “As a general rule, a Rule 12(c) motion for judgment on the pleadings is reviewed under the same standard as a 12(b)(6) motion to dismiss.” </w:t>
      </w:r>
      <w:proofErr w:type="gramStart"/>
      <w:r>
        <w:rPr>
          <w:rFonts w:ascii="Times New Roman" w:hAnsi="Times New Roman"/>
          <w:i/>
          <w:sz w:val="24"/>
        </w:rPr>
        <w:t xml:space="preserve">Clemons v. </w:t>
      </w:r>
      <w:r w:rsidRPr="0085473A">
        <w:rPr>
          <w:rFonts w:ascii="Times New Roman" w:hAnsi="Times New Roman"/>
          <w:i/>
          <w:sz w:val="24"/>
        </w:rPr>
        <w:t>Crawford</w:t>
      </w:r>
      <w:r>
        <w:rPr>
          <w:rFonts w:ascii="Times New Roman" w:hAnsi="Times New Roman"/>
          <w:sz w:val="24"/>
        </w:rPr>
        <w:t>, 585 F.3d 1119, 1124 (8th Cir. 2009).</w:t>
      </w:r>
      <w:proofErr w:type="gramEnd"/>
      <w:r>
        <w:rPr>
          <w:rFonts w:ascii="Times New Roman" w:hAnsi="Times New Roman"/>
          <w:sz w:val="24"/>
        </w:rPr>
        <w:t xml:space="preserve"> </w:t>
      </w:r>
      <w:r w:rsidRPr="0085473A">
        <w:rPr>
          <w:rFonts w:ascii="Times New Roman" w:hAnsi="Times New Roman"/>
          <w:sz w:val="24"/>
        </w:rPr>
        <w:t>A</w:t>
      </w:r>
      <w:r>
        <w:rPr>
          <w:rFonts w:ascii="Times New Roman" w:hAnsi="Times New Roman"/>
          <w:sz w:val="24"/>
        </w:rPr>
        <w:t xml:space="preserve"> claim may survive when “the plaintiff pleads factual content that allows the court to draw the reasonable inference that the defendant is liable for the misconduct alleged.” </w:t>
      </w:r>
      <w:proofErr w:type="gramStart"/>
      <w:r>
        <w:rPr>
          <w:rFonts w:ascii="Times New Roman" w:hAnsi="Times New Roman"/>
          <w:i/>
          <w:sz w:val="24"/>
        </w:rPr>
        <w:t xml:space="preserve">Ashcroft v. </w:t>
      </w:r>
      <w:proofErr w:type="spellStart"/>
      <w:r>
        <w:rPr>
          <w:rFonts w:ascii="Times New Roman" w:hAnsi="Times New Roman"/>
          <w:i/>
          <w:sz w:val="24"/>
        </w:rPr>
        <w:t>Iqbal</w:t>
      </w:r>
      <w:proofErr w:type="spellEnd"/>
      <w:r>
        <w:rPr>
          <w:rFonts w:ascii="Times New Roman" w:hAnsi="Times New Roman"/>
          <w:sz w:val="24"/>
        </w:rPr>
        <w:t>, 129 S. Ct. 1937, 1949 (2009).</w:t>
      </w:r>
      <w:proofErr w:type="gramEnd"/>
      <w:r>
        <w:rPr>
          <w:rFonts w:ascii="Times New Roman" w:hAnsi="Times New Roman"/>
          <w:sz w:val="24"/>
        </w:rPr>
        <w:t xml:space="preserve"> </w:t>
      </w:r>
    </w:p>
    <w:p w14:paraId="432B8BEF" w14:textId="77777777" w:rsidR="009C445A" w:rsidRPr="00106290" w:rsidRDefault="009C445A" w:rsidP="00106290">
      <w:pPr>
        <w:spacing w:after="0" w:line="480" w:lineRule="auto"/>
        <w:rPr>
          <w:rFonts w:ascii="Times New Roman" w:hAnsi="Times New Roman"/>
          <w:sz w:val="24"/>
        </w:rPr>
      </w:pPr>
      <w:r>
        <w:rPr>
          <w:rFonts w:ascii="Times New Roman" w:hAnsi="Times New Roman"/>
          <w:sz w:val="24"/>
        </w:rPr>
        <w:tab/>
        <w:t xml:space="preserve">The interpretation of  § 101(2) is an issue of first impression for this court. A “work for hire” agreement signed after the work has already been created is not </w:t>
      </w:r>
      <w:proofErr w:type="gramStart"/>
      <w:r>
        <w:rPr>
          <w:rFonts w:ascii="Times New Roman" w:hAnsi="Times New Roman"/>
          <w:sz w:val="24"/>
        </w:rPr>
        <w:t>a  agreement</w:t>
      </w:r>
      <w:proofErr w:type="gramEnd"/>
      <w:r>
        <w:rPr>
          <w:rFonts w:ascii="Times New Roman" w:hAnsi="Times New Roman"/>
          <w:sz w:val="24"/>
        </w:rPr>
        <w:t xml:space="preserve"> under the plain language of the statute. The legislative history that Congress intended “work for hire” agreements to be signed before the work in question is created.  The court should grant defendants’ judgment on the pleadings and dismiss this case.  </w:t>
      </w:r>
    </w:p>
    <w:p w14:paraId="78A41CB3" w14:textId="77777777" w:rsidR="009C445A" w:rsidRDefault="009C445A" w:rsidP="005F7C0A">
      <w:pPr>
        <w:spacing w:after="0" w:line="240" w:lineRule="auto"/>
        <w:ind w:left="720" w:hanging="720"/>
        <w:rPr>
          <w:rFonts w:ascii="Times New Roman" w:hAnsi="Times New Roman"/>
          <w:b/>
          <w:sz w:val="24"/>
        </w:rPr>
      </w:pPr>
    </w:p>
    <w:p w14:paraId="4AEDE6CD" w14:textId="77777777" w:rsidR="009C445A" w:rsidRDefault="009C445A" w:rsidP="00ED02E3">
      <w:pPr>
        <w:spacing w:after="0" w:line="240" w:lineRule="auto"/>
        <w:ind w:left="720" w:hanging="720"/>
        <w:rPr>
          <w:rFonts w:ascii="Times New Roman" w:hAnsi="Times New Roman"/>
          <w:b/>
          <w:sz w:val="24"/>
        </w:rPr>
      </w:pPr>
      <w:r>
        <w:rPr>
          <w:rFonts w:ascii="Times New Roman" w:hAnsi="Times New Roman"/>
          <w:b/>
          <w:sz w:val="24"/>
        </w:rPr>
        <w:t>I.</w:t>
      </w:r>
      <w:r>
        <w:rPr>
          <w:rFonts w:ascii="Times New Roman" w:hAnsi="Times New Roman"/>
          <w:b/>
          <w:sz w:val="24"/>
        </w:rPr>
        <w:tab/>
        <w:t>A “WORK FOR HIRE” AGREEMENT MUST BE SIGNED BEFORE THE WORK IS CREATED</w:t>
      </w:r>
    </w:p>
    <w:p w14:paraId="23BC3658" w14:textId="77777777" w:rsidR="009C445A" w:rsidRPr="00ED02E3" w:rsidRDefault="009C445A" w:rsidP="00ED02E3">
      <w:pPr>
        <w:spacing w:after="0" w:line="240" w:lineRule="auto"/>
        <w:ind w:left="720" w:hanging="720"/>
        <w:rPr>
          <w:rFonts w:ascii="Times New Roman" w:hAnsi="Times New Roman"/>
          <w:b/>
          <w:sz w:val="24"/>
        </w:rPr>
      </w:pPr>
    </w:p>
    <w:p w14:paraId="067D88B7" w14:textId="77777777" w:rsidR="009C445A" w:rsidRDefault="009C445A" w:rsidP="0046704A">
      <w:pPr>
        <w:spacing w:after="0" w:line="480" w:lineRule="auto"/>
        <w:ind w:firstLine="720"/>
        <w:rPr>
          <w:rFonts w:ascii="Times New Roman" w:hAnsi="Times New Roman"/>
          <w:sz w:val="24"/>
        </w:rPr>
      </w:pPr>
      <w:r>
        <w:rPr>
          <w:rFonts w:ascii="Times New Roman" w:hAnsi="Times New Roman"/>
          <w:sz w:val="24"/>
        </w:rPr>
        <w:t xml:space="preserve">Section 101(2) of the Copyright Act defines a “work made for hire” as “a work specially ordered or commissioned for use . . . as a part of a motion picture or other audiovisual work . . . if the parties expressly agree in a written instrument signed by them that the work shall be considered a work made for hire.” The well-recognized canon of construction that words are to be interpreted according to the proper grammatical effect of their arrangement within the statute applies here. </w:t>
      </w:r>
      <w:r>
        <w:rPr>
          <w:rFonts w:ascii="Times New Roman" w:hAnsi="Times New Roman"/>
          <w:i/>
          <w:sz w:val="24"/>
        </w:rPr>
        <w:t xml:space="preserve">Harris v. </w:t>
      </w:r>
      <w:r w:rsidRPr="00C21569">
        <w:rPr>
          <w:rFonts w:ascii="Times New Roman" w:hAnsi="Times New Roman"/>
          <w:i/>
          <w:sz w:val="24"/>
        </w:rPr>
        <w:t>Commonwealth</w:t>
      </w:r>
      <w:proofErr w:type="gramStart"/>
      <w:r w:rsidRPr="00014EFB">
        <w:rPr>
          <w:rFonts w:ascii="Times New Roman" w:hAnsi="Times New Roman"/>
          <w:sz w:val="24"/>
          <w:szCs w:val="24"/>
        </w:rPr>
        <w:t>,,</w:t>
      </w:r>
      <w:proofErr w:type="gramEnd"/>
      <w:r>
        <w:rPr>
          <w:rFonts w:ascii="Times New Roman" w:hAnsi="Times New Roman"/>
          <w:sz w:val="24"/>
        </w:rPr>
        <w:t xml:space="preserve">  (1924). The relevant wording is that the work “</w:t>
      </w:r>
      <w:r>
        <w:rPr>
          <w:rFonts w:ascii="Times New Roman" w:hAnsi="Times New Roman"/>
          <w:i/>
          <w:sz w:val="24"/>
        </w:rPr>
        <w:t xml:space="preserve">shall be </w:t>
      </w:r>
      <w:r>
        <w:rPr>
          <w:rFonts w:ascii="Times New Roman" w:hAnsi="Times New Roman"/>
          <w:sz w:val="24"/>
        </w:rPr>
        <w:t xml:space="preserve">considered a work made for hire.” </w:t>
      </w:r>
      <w:proofErr w:type="gramStart"/>
      <w:r>
        <w:rPr>
          <w:rFonts w:ascii="Times New Roman" w:hAnsi="Times New Roman"/>
          <w:sz w:val="24"/>
        </w:rPr>
        <w:t>17 U.S.C. §101(2) (emphasis added).</w:t>
      </w:r>
      <w:proofErr w:type="gramEnd"/>
      <w:r>
        <w:rPr>
          <w:rFonts w:ascii="Times New Roman" w:hAnsi="Times New Roman"/>
          <w:sz w:val="24"/>
        </w:rPr>
        <w:t xml:space="preserve">  </w:t>
      </w:r>
      <w:r w:rsidRPr="00C21569">
        <w:rPr>
          <w:rFonts w:ascii="Times New Roman" w:hAnsi="Times New Roman"/>
          <w:sz w:val="24"/>
        </w:rPr>
        <w:t>The</w:t>
      </w:r>
      <w:r>
        <w:rPr>
          <w:rFonts w:ascii="Times New Roman" w:hAnsi="Times New Roman"/>
          <w:sz w:val="24"/>
        </w:rPr>
        <w:t xml:space="preserve"> grammatical effect of this statute is that the agreement must be signed before the work is created, not afterwards. The use of the future tense means that </w:t>
      </w:r>
      <w:proofErr w:type="gramStart"/>
      <w:r>
        <w:rPr>
          <w:rFonts w:ascii="Times New Roman" w:hAnsi="Times New Roman"/>
          <w:sz w:val="24"/>
        </w:rPr>
        <w:t xml:space="preserve">the </w:t>
      </w:r>
      <w:proofErr w:type="spellStart"/>
      <w:r>
        <w:rPr>
          <w:rFonts w:ascii="Times New Roman" w:hAnsi="Times New Roman"/>
          <w:sz w:val="24"/>
        </w:rPr>
        <w:t>asyet</w:t>
      </w:r>
      <w:proofErr w:type="spellEnd"/>
      <w:r>
        <w:rPr>
          <w:rFonts w:ascii="Times New Roman" w:hAnsi="Times New Roman"/>
          <w:sz w:val="24"/>
        </w:rPr>
        <w:t xml:space="preserve"> uncreated work will be considered a “work for </w:t>
      </w:r>
      <w:r>
        <w:rPr>
          <w:rFonts w:ascii="Times New Roman" w:hAnsi="Times New Roman"/>
          <w:sz w:val="24"/>
        </w:rPr>
        <w:lastRenderedPageBreak/>
        <w:t>hire” only after a written agreement to that effect has been signed by all parties</w:t>
      </w:r>
      <w:proofErr w:type="gramEnd"/>
      <w:r>
        <w:rPr>
          <w:rFonts w:ascii="Times New Roman" w:hAnsi="Times New Roman"/>
          <w:sz w:val="24"/>
        </w:rPr>
        <w:t xml:space="preserve">. Under the plain meaning of the statute, a “work for hire” agreement cannot be applied retroactively. In this case, there was no written agreement that Lime’s screenplay would be considered a “work for hire” before it had been </w:t>
      </w:r>
      <w:proofErr w:type="gramStart"/>
      <w:r>
        <w:rPr>
          <w:rFonts w:ascii="Times New Roman" w:hAnsi="Times New Roman"/>
          <w:sz w:val="24"/>
        </w:rPr>
        <w:t>created.</w:t>
      </w:r>
      <w:proofErr w:type="gramEnd"/>
      <w:r>
        <w:rPr>
          <w:rFonts w:ascii="Times New Roman" w:hAnsi="Times New Roman"/>
          <w:sz w:val="24"/>
        </w:rPr>
        <w:t xml:space="preserve"> </w:t>
      </w:r>
      <w:proofErr w:type="gramStart"/>
      <w:r>
        <w:rPr>
          <w:rFonts w:ascii="Times New Roman" w:hAnsi="Times New Roman"/>
          <w:sz w:val="24"/>
        </w:rPr>
        <w:t>he</w:t>
      </w:r>
      <w:proofErr w:type="gramEnd"/>
      <w:r>
        <w:rPr>
          <w:rFonts w:ascii="Times New Roman" w:hAnsi="Times New Roman"/>
          <w:sz w:val="24"/>
        </w:rPr>
        <w:t xml:space="preserve"> agreement came four days </w:t>
      </w:r>
      <w:r>
        <w:rPr>
          <w:rFonts w:ascii="Times New Roman" w:hAnsi="Times New Roman"/>
          <w:i/>
          <w:sz w:val="24"/>
        </w:rPr>
        <w:t>after</w:t>
      </w:r>
      <w:r>
        <w:rPr>
          <w:rFonts w:ascii="Times New Roman" w:hAnsi="Times New Roman"/>
          <w:sz w:val="24"/>
        </w:rPr>
        <w:t xml:space="preserve"> Lime had turned her completed screenplay into OGS. This is too late to create a “work for hire.” </w:t>
      </w:r>
    </w:p>
    <w:p w14:paraId="18F2978B" w14:textId="77777777" w:rsidR="009C445A" w:rsidRDefault="009C445A" w:rsidP="00567FD1">
      <w:pPr>
        <w:spacing w:after="0" w:line="480" w:lineRule="auto"/>
        <w:ind w:firstLine="720"/>
        <w:rPr>
          <w:rFonts w:ascii="Times New Roman" w:hAnsi="Times New Roman"/>
          <w:sz w:val="24"/>
        </w:rPr>
      </w:pPr>
      <w:r>
        <w:rPr>
          <w:rFonts w:ascii="Times New Roman" w:hAnsi="Times New Roman"/>
          <w:sz w:val="24"/>
        </w:rPr>
        <w:t xml:space="preserve">Plaintiff may argue that the plain language of Section 101(2) does </w:t>
      </w:r>
      <w:proofErr w:type="gramStart"/>
      <w:r>
        <w:rPr>
          <w:rFonts w:ascii="Times New Roman" w:hAnsi="Times New Roman"/>
          <w:sz w:val="24"/>
        </w:rPr>
        <w:t>not  a</w:t>
      </w:r>
      <w:proofErr w:type="gramEnd"/>
      <w:r>
        <w:rPr>
          <w:rFonts w:ascii="Times New Roman" w:hAnsi="Times New Roman"/>
          <w:sz w:val="24"/>
        </w:rPr>
        <w:t xml:space="preserve"> timing requirement and so the written agreement may be signed at any point, whether before or after a work has been created. This is faulty for two reasons. First, as outlined above, the grammatical structure of the statute does make a timing determination. “The plain language of the statute indicates that a work-for-hire agreement cannot apply to works that are already in existence.” </w:t>
      </w:r>
      <w:proofErr w:type="spellStart"/>
      <w:r>
        <w:rPr>
          <w:rFonts w:ascii="Times New Roman" w:hAnsi="Times New Roman"/>
          <w:i/>
          <w:sz w:val="24"/>
        </w:rPr>
        <w:t>Gladwell</w:t>
      </w:r>
      <w:proofErr w:type="spellEnd"/>
      <w:r>
        <w:rPr>
          <w:rFonts w:ascii="Times New Roman" w:hAnsi="Times New Roman"/>
          <w:i/>
          <w:sz w:val="24"/>
        </w:rPr>
        <w:t xml:space="preserve"> </w:t>
      </w:r>
      <w:proofErr w:type="spellStart"/>
      <w:r>
        <w:rPr>
          <w:rFonts w:ascii="Times New Roman" w:hAnsi="Times New Roman"/>
          <w:i/>
          <w:sz w:val="24"/>
        </w:rPr>
        <w:t>Govt</w:t>
      </w:r>
      <w:proofErr w:type="spellEnd"/>
      <w:r>
        <w:rPr>
          <w:rFonts w:ascii="Times New Roman" w:hAnsi="Times New Roman"/>
          <w:i/>
          <w:sz w:val="24"/>
        </w:rPr>
        <w:t xml:space="preserve"> Services, Inc. v. County of Marin, </w:t>
      </w:r>
      <w:r>
        <w:rPr>
          <w:rFonts w:ascii="Times New Roman" w:hAnsi="Times New Roman"/>
          <w:sz w:val="24"/>
        </w:rPr>
        <w:t xml:space="preserve">265 Fed. </w:t>
      </w:r>
      <w:proofErr w:type="spellStart"/>
      <w:r>
        <w:rPr>
          <w:rFonts w:ascii="Times New Roman" w:hAnsi="Times New Roman"/>
          <w:sz w:val="24"/>
        </w:rPr>
        <w:t>Appx</w:t>
      </w:r>
      <w:proofErr w:type="spellEnd"/>
      <w:r>
        <w:rPr>
          <w:rFonts w:ascii="Times New Roman" w:hAnsi="Times New Roman"/>
          <w:sz w:val="24"/>
        </w:rPr>
        <w:t xml:space="preserve">. </w:t>
      </w:r>
      <w:proofErr w:type="gramStart"/>
      <w:r>
        <w:rPr>
          <w:rFonts w:ascii="Times New Roman" w:hAnsi="Times New Roman"/>
          <w:sz w:val="24"/>
        </w:rPr>
        <w:t>624, 626 (2008).</w:t>
      </w:r>
      <w:proofErr w:type="gramEnd"/>
      <w:r>
        <w:rPr>
          <w:rFonts w:ascii="Times New Roman" w:hAnsi="Times New Roman"/>
          <w:sz w:val="24"/>
        </w:rPr>
        <w:t xml:space="preserve"> </w:t>
      </w:r>
      <w:r w:rsidRPr="00FC0FDE">
        <w:rPr>
          <w:rFonts w:ascii="Times New Roman" w:hAnsi="Times New Roman"/>
          <w:sz w:val="24"/>
        </w:rPr>
        <w:t>Second</w:t>
      </w:r>
      <w:r>
        <w:rPr>
          <w:rFonts w:ascii="Times New Roman" w:hAnsi="Times New Roman"/>
          <w:sz w:val="24"/>
        </w:rPr>
        <w:t xml:space="preserve">, the importance of a written document transferring copyright ownership is given great weight in the Copyright Act. A number of provisions, including Section 101 (“A ‘transfer of copyright ownership’ is an assignment, mortgage, exclusive license or any other conveyance, alienation, or hypothecation of a copyright”), Section 201(b) (“In the case of a work made for hire . . . the . . . person for whom the work was prepared is considered the author . . . unless the parties have expressly agreed otherwise in a written instrument signed by them”), Section 204(a) (“A transfer of copyright ownership, other than by operation of law, is not valid unless an instrument of conveyance, or a note or memorandum of the transfer, is in writing and signed by the owner of the rights conveyed”), emphasize the necessity of a written document to transfer ownership from the original author. Because initial ownership </w:t>
      </w:r>
      <w:proofErr w:type="gramStart"/>
      <w:r>
        <w:rPr>
          <w:rFonts w:ascii="Times New Roman" w:hAnsi="Times New Roman"/>
          <w:sz w:val="24"/>
        </w:rPr>
        <w:t>of a copyright vests</w:t>
      </w:r>
      <w:proofErr w:type="gramEnd"/>
      <w:r>
        <w:rPr>
          <w:rFonts w:ascii="Times New Roman" w:hAnsi="Times New Roman"/>
          <w:sz w:val="24"/>
        </w:rPr>
        <w:t xml:space="preserve"> in the author of the work, any departure from this standard requires an appropriate written instrument signed by all parties. </w:t>
      </w:r>
      <w:proofErr w:type="gramStart"/>
      <w:r>
        <w:rPr>
          <w:rFonts w:ascii="Times New Roman" w:hAnsi="Times New Roman"/>
          <w:sz w:val="24"/>
        </w:rPr>
        <w:t>17 U.S.C. §201(a).</w:t>
      </w:r>
      <w:proofErr w:type="gramEnd"/>
      <w:r>
        <w:rPr>
          <w:rFonts w:ascii="Times New Roman" w:hAnsi="Times New Roman"/>
          <w:sz w:val="24"/>
        </w:rPr>
        <w:t xml:space="preserve"> Although Lime and OGS sign a written agreement four days after the </w:t>
      </w:r>
      <w:r>
        <w:rPr>
          <w:rFonts w:ascii="Times New Roman" w:hAnsi="Times New Roman"/>
          <w:sz w:val="24"/>
        </w:rPr>
        <w:lastRenderedPageBreak/>
        <w:t xml:space="preserve">completion of “Anticipatory Repudiation” this agreement could not retroactively create a “work for hire” arrangement under the temporal requirement of the statute. </w:t>
      </w:r>
    </w:p>
    <w:p w14:paraId="2DAC78C7" w14:textId="77777777" w:rsidR="009C445A" w:rsidRDefault="009C445A" w:rsidP="0019296F">
      <w:pPr>
        <w:spacing w:after="0" w:line="480" w:lineRule="auto"/>
        <w:ind w:firstLine="720"/>
        <w:rPr>
          <w:rFonts w:ascii="Times New Roman" w:hAnsi="Times New Roman"/>
          <w:sz w:val="24"/>
        </w:rPr>
      </w:pPr>
      <w:r>
        <w:rPr>
          <w:rFonts w:ascii="Times New Roman" w:hAnsi="Times New Roman"/>
          <w:sz w:val="24"/>
        </w:rPr>
        <w:t xml:space="preserve">Plaintiff may point to </w:t>
      </w:r>
      <w:r>
        <w:rPr>
          <w:rFonts w:ascii="Times New Roman" w:hAnsi="Times New Roman"/>
          <w:i/>
          <w:sz w:val="24"/>
        </w:rPr>
        <w:t xml:space="preserve">Playboy Enterprises, Inc. v. </w:t>
      </w:r>
      <w:r w:rsidRPr="001E0B04">
        <w:rPr>
          <w:rFonts w:ascii="Times New Roman" w:hAnsi="Times New Roman"/>
          <w:i/>
          <w:sz w:val="24"/>
        </w:rPr>
        <w:t>Dumas</w:t>
      </w:r>
      <w:r>
        <w:rPr>
          <w:rFonts w:ascii="Times New Roman" w:hAnsi="Times New Roman"/>
          <w:i/>
          <w:sz w:val="24"/>
        </w:rPr>
        <w:t xml:space="preserve">, </w:t>
      </w:r>
      <w:r>
        <w:rPr>
          <w:rFonts w:ascii="Times New Roman" w:hAnsi="Times New Roman"/>
          <w:sz w:val="24"/>
        </w:rPr>
        <w:t xml:space="preserve">which held a document signed after the creation of the work is enforceable, as long as it supports a previously made oral agreement. </w:t>
      </w:r>
      <w:proofErr w:type="gramStart"/>
      <w:r w:rsidRPr="00C8127C">
        <w:rPr>
          <w:rFonts w:ascii="Times New Roman" w:hAnsi="Times New Roman"/>
          <w:i/>
          <w:sz w:val="24"/>
        </w:rPr>
        <w:t xml:space="preserve">Playboy Enterprises, Inc. v. Dumas, </w:t>
      </w:r>
      <w:r w:rsidRPr="00C8127C">
        <w:rPr>
          <w:rFonts w:ascii="Times New Roman" w:hAnsi="Times New Roman"/>
          <w:sz w:val="24"/>
        </w:rPr>
        <w:t>53 F. 3d 549, 559 (1995)</w:t>
      </w:r>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i/>
          <w:sz w:val="24"/>
        </w:rPr>
        <w:t>Playboy</w:t>
      </w:r>
      <w:r>
        <w:rPr>
          <w:rFonts w:ascii="Times New Roman" w:hAnsi="Times New Roman"/>
          <w:sz w:val="24"/>
        </w:rPr>
        <w:t>, however, distinguishable from the facts at hand for two reasons.</w:t>
      </w:r>
      <w:proofErr w:type="gramEnd"/>
      <w:r>
        <w:rPr>
          <w:rFonts w:ascii="Times New Roman" w:hAnsi="Times New Roman"/>
          <w:sz w:val="24"/>
        </w:rPr>
        <w:t xml:space="preserve"> First, there was a long relationship between the parties, and second</w:t>
      </w:r>
      <w:proofErr w:type="gramStart"/>
      <w:r>
        <w:rPr>
          <w:rFonts w:ascii="Times New Roman" w:hAnsi="Times New Roman"/>
          <w:sz w:val="24"/>
        </w:rPr>
        <w:t>,  informal</w:t>
      </w:r>
      <w:proofErr w:type="gramEnd"/>
      <w:r>
        <w:rPr>
          <w:rFonts w:ascii="Times New Roman" w:hAnsi="Times New Roman"/>
          <w:sz w:val="24"/>
        </w:rPr>
        <w:t xml:space="preserve"> writing </w:t>
      </w:r>
      <w:proofErr w:type="spellStart"/>
      <w:r>
        <w:rPr>
          <w:rFonts w:ascii="Times New Roman" w:hAnsi="Times New Roman"/>
          <w:sz w:val="24"/>
        </w:rPr>
        <w:t>accompan</w:t>
      </w:r>
      <w:proofErr w:type="spellEnd"/>
      <w:r>
        <w:rPr>
          <w:rFonts w:ascii="Times New Roman" w:hAnsi="Times New Roman"/>
          <w:sz w:val="24"/>
        </w:rPr>
        <w:t xml:space="preserve"> the oral agreement that the parties’ relationship was a “work for hire” of the parties. Playboy Enterprises paid the independent artist with </w:t>
      </w:r>
      <w:proofErr w:type="gramStart"/>
      <w:r>
        <w:rPr>
          <w:rFonts w:ascii="Times New Roman" w:hAnsi="Times New Roman"/>
          <w:sz w:val="24"/>
        </w:rPr>
        <w:t>checks which</w:t>
      </w:r>
      <w:proofErr w:type="gramEnd"/>
      <w:r>
        <w:rPr>
          <w:rFonts w:ascii="Times New Roman" w:hAnsi="Times New Roman"/>
          <w:sz w:val="24"/>
        </w:rPr>
        <w:t xml:space="preserve"> held three different types of written legends over the course of a ten year business relationship. All three legends included language transferring title and rights to Playboy Enterprises, including specific wording stating: </w:t>
      </w:r>
    </w:p>
    <w:p w14:paraId="4CA2367F" w14:textId="77777777" w:rsidR="009C445A" w:rsidRPr="00D81D29" w:rsidRDefault="009C445A" w:rsidP="007309FE">
      <w:pPr>
        <w:spacing w:after="0" w:line="480" w:lineRule="auto"/>
        <w:ind w:right="720"/>
        <w:rPr>
          <w:rFonts w:ascii="Times New Roman" w:hAnsi="Times New Roman"/>
          <w:sz w:val="24"/>
        </w:rPr>
      </w:pPr>
      <w:r w:rsidRPr="009169CF">
        <w:rPr>
          <w:rFonts w:ascii="Times New Roman" w:hAnsi="Times New Roman"/>
          <w:sz w:val="24"/>
        </w:rPr>
        <w:t xml:space="preserve">BY ENDORSEMENT, PAYEE: acknowledges payment in full for services rendered on a work-made-for-hire basis in connection with the Work named on the face of this check, and confirms ownership by Playboy Enterprises, Inc. of all right, title and interest (except physical possession), including all rights of copyright, in and to the </w:t>
      </w:r>
      <w:proofErr w:type="spellStart"/>
      <w:r w:rsidRPr="009169CF">
        <w:rPr>
          <w:rFonts w:ascii="Times New Roman" w:hAnsi="Times New Roman"/>
          <w:sz w:val="24"/>
        </w:rPr>
        <w:t>Work.</w:t>
      </w:r>
      <w:r>
        <w:rPr>
          <w:rFonts w:ascii="Times New Roman" w:hAnsi="Times New Roman"/>
          <w:i/>
          <w:sz w:val="24"/>
        </w:rPr>
        <w:t>Playboy</w:t>
      </w:r>
      <w:proofErr w:type="spellEnd"/>
      <w:r>
        <w:rPr>
          <w:rFonts w:ascii="Times New Roman" w:hAnsi="Times New Roman"/>
          <w:sz w:val="24"/>
        </w:rPr>
        <w:t xml:space="preserve">, 53 F.3d 549, 552. The court held that over the ten years that Nagel worked with Playboy, a “work for hire” agreement had </w:t>
      </w:r>
      <w:r w:rsidRPr="00E3120C">
        <w:rPr>
          <w:rFonts w:ascii="Times New Roman" w:hAnsi="Times New Roman"/>
          <w:i/>
          <w:sz w:val="24"/>
        </w:rPr>
        <w:t>de facto</w:t>
      </w:r>
      <w:r>
        <w:rPr>
          <w:rFonts w:ascii="Times New Roman" w:hAnsi="Times New Roman"/>
          <w:sz w:val="24"/>
        </w:rPr>
        <w:t xml:space="preserve"> been reached. This is in contrast to the facts of this case. Lime and OGS have never worked together before “Anticipatory Repudiation” was written and have not worked together since. Further, there were no written instruments of any kind between Lime and OGS before Lime wrote her screenplay. </w:t>
      </w:r>
      <w:r>
        <w:rPr>
          <w:rFonts w:ascii="Times New Roman" w:hAnsi="Times New Roman"/>
          <w:i/>
          <w:sz w:val="24"/>
        </w:rPr>
        <w:t>Playboy</w:t>
      </w:r>
      <w:r>
        <w:rPr>
          <w:rFonts w:ascii="Times New Roman" w:hAnsi="Times New Roman"/>
          <w:sz w:val="24"/>
        </w:rPr>
        <w:t xml:space="preserve"> therefore has limited relevance to this case.</w:t>
      </w:r>
    </w:p>
    <w:p w14:paraId="06117591" w14:textId="77777777" w:rsidR="009C445A" w:rsidRDefault="009C445A" w:rsidP="00416DC5">
      <w:pPr>
        <w:spacing w:after="0" w:line="480" w:lineRule="auto"/>
        <w:ind w:firstLine="720"/>
        <w:rPr>
          <w:rFonts w:ascii="Times New Roman" w:hAnsi="Times New Roman"/>
          <w:sz w:val="24"/>
        </w:rPr>
      </w:pPr>
      <w:r>
        <w:rPr>
          <w:rFonts w:ascii="Times New Roman" w:hAnsi="Times New Roman"/>
          <w:sz w:val="24"/>
        </w:rPr>
        <w:t>While OGS did register a copyright with the Copyright Office, this is not dispositive of the ownership issue.</w:t>
      </w:r>
      <w:r w:rsidRPr="00567FD1">
        <w:rPr>
          <w:rFonts w:ascii="Times New Roman" w:hAnsi="Times New Roman"/>
          <w:sz w:val="24"/>
        </w:rPr>
        <w:t xml:space="preserve"> </w:t>
      </w:r>
      <w:r>
        <w:rPr>
          <w:rFonts w:ascii="Times New Roman" w:hAnsi="Times New Roman"/>
          <w:sz w:val="24"/>
        </w:rPr>
        <w:t>410(c) t</w:t>
      </w:r>
      <w:r w:rsidRPr="00EB2E4B">
        <w:rPr>
          <w:rFonts w:ascii="Times New Roman" w:hAnsi="Times New Roman"/>
          <w:sz w:val="24"/>
        </w:rPr>
        <w:t xml:space="preserve">he </w:t>
      </w:r>
      <w:r>
        <w:rPr>
          <w:rFonts w:ascii="Times New Roman" w:hAnsi="Times New Roman"/>
          <w:sz w:val="24"/>
        </w:rPr>
        <w:t>“</w:t>
      </w:r>
      <w:r w:rsidRPr="00EB2E4B">
        <w:rPr>
          <w:rFonts w:ascii="Times New Roman" w:hAnsi="Times New Roman"/>
          <w:sz w:val="24"/>
        </w:rPr>
        <w:t>evidentiary weight to be accorded the certificate of registratio</w:t>
      </w:r>
      <w:r>
        <w:rPr>
          <w:rFonts w:ascii="Times New Roman" w:hAnsi="Times New Roman"/>
          <w:sz w:val="24"/>
        </w:rPr>
        <w:t xml:space="preserve">n </w:t>
      </w:r>
      <w:r>
        <w:rPr>
          <w:rFonts w:ascii="Times New Roman" w:hAnsi="Times New Roman"/>
          <w:sz w:val="24"/>
        </w:rPr>
        <w:lastRenderedPageBreak/>
        <w:t>made . . .</w:t>
      </w:r>
      <w:r w:rsidRPr="00EB2E4B">
        <w:rPr>
          <w:rFonts w:ascii="Times New Roman" w:hAnsi="Times New Roman"/>
          <w:sz w:val="24"/>
        </w:rPr>
        <w:t xml:space="preserve"> shall be within the discretion of the court</w:t>
      </w:r>
      <w:r>
        <w:rPr>
          <w:rFonts w:ascii="Times New Roman" w:hAnsi="Times New Roman"/>
          <w:sz w:val="24"/>
        </w:rPr>
        <w:t>”. Under 17 U.S.C. §201(a), the “copyright in a work protected under this title vests initially in the author.” Thus, Lime was the original owner of the copyright to “Anticipatory Repudiation.” Without a written agreement signed before Lime began work on her screenplay, Lime is the sole author of the work. Therefore, the validity of the copyright registration should not be presumed, but should instead depend on the court’s determination of the validity of the “work for hire” agreement between the parties.</w:t>
      </w:r>
    </w:p>
    <w:p w14:paraId="66D7DD77" w14:textId="77777777" w:rsidR="009C445A" w:rsidRDefault="009C445A" w:rsidP="0046704A">
      <w:pPr>
        <w:spacing w:after="0" w:line="480" w:lineRule="auto"/>
        <w:ind w:firstLine="720"/>
        <w:rPr>
          <w:rFonts w:ascii="Times New Roman" w:hAnsi="Times New Roman"/>
          <w:sz w:val="24"/>
        </w:rPr>
      </w:pPr>
      <w:r>
        <w:rPr>
          <w:rFonts w:ascii="Times New Roman" w:hAnsi="Times New Roman"/>
          <w:sz w:val="24"/>
        </w:rPr>
        <w:t xml:space="preserve">The plain language of the Copyright Act establishes the requirement that a “work for hire” agreement be signed by the parties before any work is created. </w:t>
      </w:r>
      <w:proofErr w:type="gramStart"/>
      <w:r>
        <w:rPr>
          <w:rFonts w:ascii="Times New Roman" w:hAnsi="Times New Roman"/>
          <w:sz w:val="24"/>
        </w:rPr>
        <w:t>he</w:t>
      </w:r>
      <w:proofErr w:type="gramEnd"/>
      <w:r>
        <w:rPr>
          <w:rFonts w:ascii="Times New Roman" w:hAnsi="Times New Roman"/>
          <w:sz w:val="24"/>
        </w:rPr>
        <w:t xml:space="preserve"> future tense of 17 U.S.C. §101(2) should be understood according to its grammatical meaning. </w:t>
      </w:r>
      <w:proofErr w:type="spellStart"/>
      <w:r>
        <w:rPr>
          <w:rFonts w:ascii="Times New Roman" w:hAnsi="Times New Roman"/>
          <w:sz w:val="24"/>
        </w:rPr>
        <w:t>greements</w:t>
      </w:r>
      <w:proofErr w:type="spellEnd"/>
      <w:r>
        <w:rPr>
          <w:rFonts w:ascii="Times New Roman" w:hAnsi="Times New Roman"/>
          <w:sz w:val="24"/>
        </w:rPr>
        <w:t xml:space="preserve"> that transfer copyright ownership must be in writing, under multiple provisions of the Copyright Act. “</w:t>
      </w:r>
      <w:proofErr w:type="spellStart"/>
      <w:proofErr w:type="gramStart"/>
      <w:r>
        <w:rPr>
          <w:rFonts w:ascii="Times New Roman" w:hAnsi="Times New Roman"/>
          <w:sz w:val="24"/>
        </w:rPr>
        <w:t>ork</w:t>
      </w:r>
      <w:proofErr w:type="spellEnd"/>
      <w:proofErr w:type="gramEnd"/>
      <w:r>
        <w:rPr>
          <w:rFonts w:ascii="Times New Roman" w:hAnsi="Times New Roman"/>
          <w:sz w:val="24"/>
        </w:rPr>
        <w:t xml:space="preserve"> for hire” agreements are different from simple transfer of rights in a work that already exists. Their increased complexity under the statute increases the need for a written agreement that predates the creation of any work. For </w:t>
      </w:r>
      <w:proofErr w:type="spellStart"/>
      <w:r>
        <w:rPr>
          <w:rFonts w:ascii="Times New Roman" w:hAnsi="Times New Roman"/>
          <w:sz w:val="24"/>
        </w:rPr>
        <w:t>ths</w:t>
      </w:r>
      <w:proofErr w:type="spellEnd"/>
      <w:r>
        <w:rPr>
          <w:rFonts w:ascii="Times New Roman" w:hAnsi="Times New Roman"/>
          <w:sz w:val="24"/>
        </w:rPr>
        <w:t xml:space="preserve"> reason, an oral agreement without any kind of accompanying written understanding is not sufficient to establish a “work for hire” arrangement. , the copyright held by OGS is not dispositive of this issue. Under the plain language of the statute, OGS and Lime never signed a “work for hire</w:t>
      </w:r>
      <w:proofErr w:type="gramStart"/>
      <w:r>
        <w:rPr>
          <w:rFonts w:ascii="Times New Roman" w:hAnsi="Times New Roman"/>
          <w:sz w:val="24"/>
        </w:rPr>
        <w:t>”  Therefore</w:t>
      </w:r>
      <w:proofErr w:type="gramEnd"/>
      <w:r>
        <w:rPr>
          <w:rFonts w:ascii="Times New Roman" w:hAnsi="Times New Roman"/>
          <w:sz w:val="24"/>
        </w:rPr>
        <w:t>, the court should dismiss plaintiff’s claim.</w:t>
      </w:r>
    </w:p>
    <w:p w14:paraId="02581B5D" w14:textId="77777777" w:rsidR="009C445A" w:rsidRDefault="009C445A" w:rsidP="005B5482">
      <w:pPr>
        <w:spacing w:after="0" w:line="240" w:lineRule="auto"/>
        <w:rPr>
          <w:rFonts w:ascii="Times New Roman" w:hAnsi="Times New Roman"/>
          <w:b/>
          <w:sz w:val="24"/>
        </w:rPr>
      </w:pPr>
      <w:r>
        <w:rPr>
          <w:rFonts w:ascii="Times New Roman" w:hAnsi="Times New Roman"/>
          <w:b/>
          <w:sz w:val="24"/>
        </w:rPr>
        <w:t xml:space="preserve"> The Legislative History Of The Copyright Act Shows Congress Intended “Work For Hire” Agreements To Be Signed Before The Work Was Created </w:t>
      </w:r>
    </w:p>
    <w:p w14:paraId="091E7F4D" w14:textId="77777777" w:rsidR="009C445A" w:rsidRPr="00B27C9E" w:rsidRDefault="009C445A" w:rsidP="00B27C9E">
      <w:pPr>
        <w:spacing w:after="0" w:line="240" w:lineRule="auto"/>
        <w:ind w:left="720"/>
        <w:rPr>
          <w:rFonts w:ascii="Times New Roman" w:hAnsi="Times New Roman"/>
          <w:b/>
          <w:sz w:val="24"/>
        </w:rPr>
      </w:pPr>
    </w:p>
    <w:p w14:paraId="72066F82" w14:textId="77777777" w:rsidR="009C445A" w:rsidRDefault="009C445A" w:rsidP="00B27C9E">
      <w:pPr>
        <w:spacing w:after="0" w:line="480" w:lineRule="auto"/>
        <w:ind w:firstLine="720"/>
        <w:rPr>
          <w:rFonts w:ascii="Times New Roman" w:hAnsi="Times New Roman"/>
          <w:sz w:val="24"/>
        </w:rPr>
      </w:pPr>
      <w:r>
        <w:rPr>
          <w:rFonts w:ascii="Times New Roman" w:hAnsi="Times New Roman"/>
          <w:sz w:val="24"/>
        </w:rPr>
        <w:t xml:space="preserve">Resort to legislative history is unnecessary “unless a statute is inescapably ambiguous.” </w:t>
      </w:r>
      <w:hyperlink r:id="rId9" w:anchor="co_pp_sp_350_1430" w:history="1">
        <w:proofErr w:type="gramStart"/>
        <w:r>
          <w:rPr>
            <w:rStyle w:val="Hyperlink"/>
            <w:rFonts w:ascii="Times New Roman" w:hAnsi="Times New Roman"/>
            <w:i/>
            <w:iCs/>
            <w:color w:val="auto"/>
            <w:sz w:val="24"/>
            <w:u w:val="none"/>
          </w:rPr>
          <w:t xml:space="preserve">Solis-Ramirez v. U.S. </w:t>
        </w:r>
        <w:proofErr w:type="spellStart"/>
        <w:r w:rsidRPr="00605755">
          <w:rPr>
            <w:rStyle w:val="Hyperlink"/>
            <w:rFonts w:ascii="Times New Roman" w:hAnsi="Times New Roman"/>
            <w:i/>
            <w:iCs/>
            <w:color w:val="auto"/>
            <w:sz w:val="24"/>
            <w:u w:val="none"/>
          </w:rPr>
          <w:t>Dept</w:t>
        </w:r>
        <w:proofErr w:type="spellEnd"/>
        <w:r w:rsidRPr="00605755">
          <w:rPr>
            <w:rStyle w:val="Hyperlink"/>
            <w:rFonts w:ascii="Times New Roman" w:hAnsi="Times New Roman"/>
            <w:i/>
            <w:iCs/>
            <w:color w:val="auto"/>
            <w:sz w:val="24"/>
            <w:u w:val="none"/>
          </w:rPr>
          <w:t xml:space="preserve"> of Justice,</w:t>
        </w:r>
        <w:r w:rsidRPr="00605755">
          <w:rPr>
            <w:rStyle w:val="Hyperlink"/>
            <w:rFonts w:ascii="Times New Roman" w:hAnsi="Times New Roman"/>
            <w:color w:val="auto"/>
            <w:sz w:val="24"/>
            <w:u w:val="none"/>
          </w:rPr>
          <w:t xml:space="preserve"> 758 F.2d 1426, 1430 (11th Cir.1985)</w:t>
        </w:r>
      </w:hyperlink>
      <w:r>
        <w:rPr>
          <w:rFonts w:ascii="Times New Roman" w:hAnsi="Times New Roman"/>
          <w:sz w:val="24"/>
        </w:rPr>
        <w:t xml:space="preserve"> (per </w:t>
      </w:r>
      <w:proofErr w:type="spellStart"/>
      <w:r>
        <w:rPr>
          <w:rFonts w:ascii="Times New Roman" w:hAnsi="Times New Roman"/>
          <w:sz w:val="24"/>
        </w:rPr>
        <w:t>curiam</w:t>
      </w:r>
      <w:proofErr w:type="spellEnd"/>
      <w:r>
        <w:rPr>
          <w:rFonts w:ascii="Times New Roman" w:hAnsi="Times New Roman"/>
          <w:sz w:val="24"/>
        </w:rPr>
        <w:t>).</w:t>
      </w:r>
      <w:proofErr w:type="gramEnd"/>
      <w:r>
        <w:rPr>
          <w:rFonts w:ascii="Times New Roman" w:hAnsi="Times New Roman"/>
          <w:sz w:val="24"/>
        </w:rPr>
        <w:t xml:space="preserve"> In this case, the legislative history of the Copyright Act a written agreement must be signed before a work is created to establish a “work for hire”. The Copyright Act of 1976 was a massive undertaking to combine and simplify federal copyright law. H.R. Rep. No. 94-1476, at 129 </w:t>
      </w:r>
      <w:r>
        <w:rPr>
          <w:rFonts w:ascii="Times New Roman" w:hAnsi="Times New Roman"/>
          <w:sz w:val="24"/>
        </w:rPr>
        <w:lastRenderedPageBreak/>
        <w:t xml:space="preserve">(1976). There was considerable debate over the definition of a “work made for hire”, so that the final wording passed was deliberately and carefully chosen. </w:t>
      </w:r>
      <w:r>
        <w:rPr>
          <w:rFonts w:ascii="Times New Roman" w:hAnsi="Times New Roman"/>
          <w:i/>
          <w:sz w:val="24"/>
        </w:rPr>
        <w:t xml:space="preserve">See </w:t>
      </w:r>
      <w:r>
        <w:rPr>
          <w:rFonts w:ascii="Times New Roman" w:hAnsi="Times New Roman"/>
          <w:sz w:val="24"/>
        </w:rPr>
        <w:t xml:space="preserve">Register of Copyrights, 89th Cong., Supplementary Report on the General Revision of the U.S. Copyright </w:t>
      </w:r>
      <w:proofErr w:type="gramStart"/>
      <w:r>
        <w:rPr>
          <w:rFonts w:ascii="Times New Roman" w:hAnsi="Times New Roman"/>
          <w:sz w:val="24"/>
        </w:rPr>
        <w:t>Law(</w:t>
      </w:r>
      <w:proofErr w:type="gramEnd"/>
      <w:r>
        <w:rPr>
          <w:rFonts w:ascii="Times New Roman" w:hAnsi="Times New Roman"/>
          <w:sz w:val="24"/>
        </w:rPr>
        <w:t xml:space="preserve">Comm. Print 1965).  </w:t>
      </w:r>
    </w:p>
    <w:p w14:paraId="7BF0CA72" w14:textId="77777777" w:rsidR="009C445A" w:rsidRPr="000A4932" w:rsidRDefault="009C445A" w:rsidP="00B27C9E">
      <w:pPr>
        <w:spacing w:after="0" w:line="480" w:lineRule="auto"/>
        <w:ind w:firstLine="720"/>
        <w:rPr>
          <w:rFonts w:ascii="Times New Roman" w:hAnsi="Times New Roman"/>
          <w:sz w:val="24"/>
        </w:rPr>
      </w:pPr>
      <w:r>
        <w:rPr>
          <w:rFonts w:ascii="Times New Roman" w:hAnsi="Times New Roman"/>
          <w:sz w:val="24"/>
        </w:rPr>
        <w:t xml:space="preserve">The requirement of a written agreement stipulating a particular work should be considered a “work for hire” was the result of a struggle to draw a clear “proper definitional line” of a “work for hire”. </w:t>
      </w:r>
      <w:r>
        <w:rPr>
          <w:rFonts w:ascii="Times New Roman" w:hAnsi="Times New Roman"/>
          <w:i/>
          <w:sz w:val="24"/>
        </w:rPr>
        <w:t xml:space="preserve">Id. </w:t>
      </w:r>
      <w:r>
        <w:rPr>
          <w:rFonts w:ascii="Times New Roman" w:hAnsi="Times New Roman"/>
          <w:sz w:val="24"/>
        </w:rPr>
        <w:t xml:space="preserve">Congress intended a written “work for hire” agreement to establish, with express and predictable language, the author of the work and thus the owner of the copyright. </w:t>
      </w:r>
      <w:r>
        <w:rPr>
          <w:rFonts w:ascii="Times New Roman" w:hAnsi="Times New Roman"/>
          <w:i/>
          <w:sz w:val="24"/>
        </w:rPr>
        <w:t>Id</w:t>
      </w:r>
      <w:r>
        <w:rPr>
          <w:rFonts w:ascii="Times New Roman" w:hAnsi="Times New Roman"/>
          <w:sz w:val="24"/>
        </w:rPr>
        <w:t xml:space="preserve">. At the same time, there was substantial worry that the “work for hire” mechanism could lead to widespread abuses due to the disparity of the negotiating power of employers and artists seeking work. </w:t>
      </w:r>
      <w:hyperlink r:id="rId10" w:history="1">
        <w:proofErr w:type="spellStart"/>
        <w:r w:rsidRPr="00911358">
          <w:rPr>
            <w:rStyle w:val="Hyperlink"/>
            <w:rFonts w:ascii="Times New Roman" w:hAnsi="Times New Roman"/>
            <w:color w:val="auto"/>
            <w:sz w:val="24"/>
            <w:u w:val="none"/>
          </w:rPr>
          <w:t>H.R.Rep</w:t>
        </w:r>
        <w:proofErr w:type="spellEnd"/>
        <w:r w:rsidRPr="00911358">
          <w:rPr>
            <w:rStyle w:val="Hyperlink"/>
            <w:rFonts w:ascii="Times New Roman" w:hAnsi="Times New Roman"/>
            <w:color w:val="auto"/>
            <w:sz w:val="24"/>
            <w:u w:val="none"/>
          </w:rPr>
          <w:t xml:space="preserve">. </w:t>
        </w:r>
        <w:proofErr w:type="gramStart"/>
        <w:r w:rsidRPr="00911358">
          <w:rPr>
            <w:rStyle w:val="Hyperlink"/>
            <w:rFonts w:ascii="Times New Roman" w:hAnsi="Times New Roman"/>
            <w:color w:val="auto"/>
            <w:sz w:val="24"/>
            <w:u w:val="none"/>
          </w:rPr>
          <w:t>no</w:t>
        </w:r>
        <w:proofErr w:type="gramEnd"/>
        <w:r w:rsidRPr="00911358">
          <w:rPr>
            <w:rStyle w:val="Hyperlink"/>
            <w:rFonts w:ascii="Times New Roman" w:hAnsi="Times New Roman"/>
            <w:color w:val="auto"/>
            <w:sz w:val="24"/>
            <w:u w:val="none"/>
          </w:rPr>
          <w:t>. 51–374</w:t>
        </w:r>
      </w:hyperlink>
      <w:r w:rsidRPr="00911358">
        <w:rPr>
          <w:rFonts w:ascii="Times New Roman" w:hAnsi="Times New Roman"/>
          <w:sz w:val="24"/>
        </w:rPr>
        <w:t xml:space="preserve">, 89th Cong., 1st Sess., Part 5, </w:t>
      </w:r>
      <w:r w:rsidRPr="00911358">
        <w:rPr>
          <w:rFonts w:ascii="Times New Roman" w:hAnsi="Times New Roman"/>
          <w:i/>
          <w:iCs/>
          <w:sz w:val="24"/>
        </w:rPr>
        <w:t>1964 Revision Bill with Discussion and Comments,</w:t>
      </w:r>
      <w:r w:rsidRPr="00911358">
        <w:rPr>
          <w:rFonts w:ascii="Times New Roman" w:hAnsi="Times New Roman"/>
          <w:sz w:val="24"/>
        </w:rPr>
        <w:t xml:space="preserve"> at 145 (1965)</w:t>
      </w:r>
      <w:r>
        <w:rPr>
          <w:rFonts w:ascii="Times New Roman" w:hAnsi="Times New Roman"/>
          <w:sz w:val="24"/>
        </w:rPr>
        <w:t xml:space="preserve">. This concern led Representative Barbara Ringer to explicitly state during a debate on the bill that it “would not be considered a ‘work made for hire’ if the contract were signed later on – after the work was written, for example.” </w:t>
      </w:r>
      <w:r>
        <w:rPr>
          <w:rFonts w:ascii="Times New Roman" w:hAnsi="Times New Roman"/>
          <w:i/>
          <w:sz w:val="24"/>
        </w:rPr>
        <w:t>Id</w:t>
      </w:r>
      <w:r>
        <w:rPr>
          <w:rFonts w:ascii="Times New Roman" w:hAnsi="Times New Roman"/>
          <w:sz w:val="24"/>
        </w:rPr>
        <w:t xml:space="preserve">. For both clarity and protective reasons, Congress intended that only agreements signed before a work came into existence would create valid “word for hire” arrangements. </w:t>
      </w:r>
    </w:p>
    <w:p w14:paraId="5F936EA0" w14:textId="77777777" w:rsidR="009C445A" w:rsidRPr="009D32A8" w:rsidRDefault="009C445A" w:rsidP="0044275A">
      <w:pPr>
        <w:spacing w:after="0" w:line="480" w:lineRule="auto"/>
        <w:ind w:firstLine="720"/>
        <w:rPr>
          <w:rFonts w:ascii="Times New Roman" w:hAnsi="Times New Roman"/>
          <w:sz w:val="24"/>
        </w:rPr>
      </w:pPr>
      <w:r>
        <w:rPr>
          <w:rFonts w:ascii="Times New Roman" w:hAnsi="Times New Roman"/>
          <w:sz w:val="24"/>
        </w:rPr>
        <w:t xml:space="preserve">Clarity, in particular, would be lost if an agreement establishing the author of the work could be signed days, weeks, or even years after the work had already been created. The requirement that the agreement be signed before the work is created “has the purpose to make ownership of property rights in intellectual property clear and definite, so that such property will be readily marketable.” </w:t>
      </w:r>
      <w:proofErr w:type="gramStart"/>
      <w:r>
        <w:rPr>
          <w:rFonts w:ascii="Times New Roman" w:hAnsi="Times New Roman"/>
          <w:sz w:val="24"/>
        </w:rPr>
        <w:t>S</w:t>
      </w:r>
      <w:r>
        <w:rPr>
          <w:rFonts w:ascii="Times New Roman" w:hAnsi="Times New Roman"/>
          <w:i/>
          <w:sz w:val="24"/>
        </w:rPr>
        <w:t xml:space="preserve">chiller &amp; Schmidt, Inc. v. </w:t>
      </w:r>
      <w:proofErr w:type="spellStart"/>
      <w:r>
        <w:rPr>
          <w:rFonts w:ascii="Times New Roman" w:hAnsi="Times New Roman"/>
          <w:i/>
          <w:sz w:val="24"/>
        </w:rPr>
        <w:t>Nordisco</w:t>
      </w:r>
      <w:proofErr w:type="spellEnd"/>
      <w:r>
        <w:rPr>
          <w:rFonts w:ascii="Times New Roman" w:hAnsi="Times New Roman"/>
          <w:i/>
          <w:sz w:val="24"/>
        </w:rPr>
        <w:t xml:space="preserve"> Corp., </w:t>
      </w:r>
      <w:r w:rsidRPr="006326FA">
        <w:rPr>
          <w:rFonts w:ascii="Times New Roman" w:hAnsi="Times New Roman"/>
          <w:sz w:val="24"/>
        </w:rPr>
        <w:t>969 F. 2d 410, 412 (</w:t>
      </w:r>
      <w:r>
        <w:rPr>
          <w:rFonts w:ascii="Times New Roman" w:hAnsi="Times New Roman"/>
          <w:sz w:val="24"/>
        </w:rPr>
        <w:t xml:space="preserve">7th Cir. </w:t>
      </w:r>
      <w:r w:rsidRPr="006326FA">
        <w:rPr>
          <w:rFonts w:ascii="Times New Roman" w:hAnsi="Times New Roman"/>
          <w:sz w:val="24"/>
        </w:rPr>
        <w:t>1992).</w:t>
      </w:r>
      <w:proofErr w:type="gramEnd"/>
      <w:r>
        <w:rPr>
          <w:rFonts w:ascii="Times New Roman" w:hAnsi="Times New Roman"/>
          <w:sz w:val="24"/>
        </w:rPr>
        <w:t xml:space="preserve"> Allowing the agreement to be signed after the work had been created would mean that Congress intended a work would have “two separate ‘authors’ – one during the first phase of its </w:t>
      </w:r>
      <w:r>
        <w:rPr>
          <w:rFonts w:ascii="Times New Roman" w:hAnsi="Times New Roman"/>
          <w:sz w:val="24"/>
        </w:rPr>
        <w:lastRenderedPageBreak/>
        <w:t xml:space="preserve">existence, and another after a work-for-hire agreement were executed.” </w:t>
      </w:r>
      <w:proofErr w:type="gramStart"/>
      <w:r>
        <w:rPr>
          <w:rFonts w:ascii="Times New Roman" w:hAnsi="Times New Roman"/>
          <w:i/>
          <w:sz w:val="24"/>
        </w:rPr>
        <w:t xml:space="preserve">Playboy Enterprises, </w:t>
      </w:r>
      <w:r>
        <w:rPr>
          <w:rFonts w:ascii="Times New Roman" w:hAnsi="Times New Roman"/>
          <w:sz w:val="24"/>
        </w:rPr>
        <w:t>53 F. 3d 549, 559.</w:t>
      </w:r>
      <w:proofErr w:type="gramEnd"/>
      <w:r>
        <w:rPr>
          <w:rFonts w:ascii="Times New Roman" w:hAnsi="Times New Roman"/>
          <w:sz w:val="24"/>
        </w:rPr>
        <w:t xml:space="preserve"> This resulting duality and confusion as to authorship is contrary to Congress’ intent to establish a clear author in the case of a “work for hire”.</w:t>
      </w:r>
    </w:p>
    <w:p w14:paraId="3607C9AA" w14:textId="77777777" w:rsidR="009C445A" w:rsidRDefault="009C445A" w:rsidP="0046704A">
      <w:pPr>
        <w:spacing w:after="0" w:line="480" w:lineRule="auto"/>
        <w:ind w:firstLine="720"/>
        <w:rPr>
          <w:rFonts w:ascii="Times New Roman" w:hAnsi="Times New Roman"/>
          <w:sz w:val="24"/>
        </w:rPr>
      </w:pPr>
      <w:r>
        <w:rPr>
          <w:rFonts w:ascii="Times New Roman" w:hAnsi="Times New Roman"/>
          <w:sz w:val="24"/>
        </w:rPr>
        <w:t xml:space="preserve">Several courts </w:t>
      </w:r>
      <w:proofErr w:type="gramStart"/>
      <w:r>
        <w:rPr>
          <w:rFonts w:ascii="Times New Roman" w:hAnsi="Times New Roman"/>
          <w:sz w:val="24"/>
        </w:rPr>
        <w:t>have  17</w:t>
      </w:r>
      <w:proofErr w:type="gramEnd"/>
      <w:r>
        <w:rPr>
          <w:rFonts w:ascii="Times New Roman" w:hAnsi="Times New Roman"/>
          <w:sz w:val="24"/>
        </w:rPr>
        <w:t xml:space="preserve"> U.S.C. §101(2)</w:t>
      </w:r>
      <w:proofErr w:type="spellStart"/>
      <w:r>
        <w:rPr>
          <w:rFonts w:ascii="Times New Roman" w:hAnsi="Times New Roman"/>
          <w:sz w:val="24"/>
        </w:rPr>
        <w:t>Th</w:t>
      </w:r>
      <w:proofErr w:type="spellEnd"/>
      <w:r>
        <w:rPr>
          <w:rFonts w:ascii="Times New Roman" w:hAnsi="Times New Roman"/>
          <w:sz w:val="24"/>
        </w:rPr>
        <w:t xml:space="preserve"> Court held that parties who wish to establish a “work for hire” should “at the outset  . . . settle on relevant contractual terms, such as the price for the work and the </w:t>
      </w:r>
      <w:r w:rsidRPr="0044275A">
        <w:rPr>
          <w:rFonts w:ascii="Times New Roman" w:hAnsi="Times New Roman"/>
          <w:i/>
          <w:sz w:val="24"/>
        </w:rPr>
        <w:t>ownership of reproduction rights</w:t>
      </w:r>
      <w:r>
        <w:rPr>
          <w:rFonts w:ascii="Times New Roman" w:hAnsi="Times New Roman"/>
          <w:sz w:val="24"/>
        </w:rPr>
        <w:t xml:space="preserve">.” </w:t>
      </w:r>
      <w:r>
        <w:rPr>
          <w:rFonts w:ascii="Times New Roman" w:hAnsi="Times New Roman"/>
          <w:i/>
          <w:sz w:val="24"/>
        </w:rPr>
        <w:t xml:space="preserve">Community for Creative Non-Violence v. Reid, </w:t>
      </w:r>
      <w:r>
        <w:rPr>
          <w:rFonts w:ascii="Times New Roman" w:hAnsi="Times New Roman"/>
          <w:sz w:val="24"/>
        </w:rPr>
        <w:t xml:space="preserve">490 U.S. 730, 750 (1989) (emphasis added). </w:t>
      </w:r>
      <w:r w:rsidRPr="00920335">
        <w:rPr>
          <w:rFonts w:ascii="Times New Roman" w:hAnsi="Times New Roman"/>
          <w:sz w:val="24"/>
        </w:rPr>
        <w:t>The</w:t>
      </w:r>
      <w:r>
        <w:rPr>
          <w:rFonts w:ascii="Times New Roman" w:hAnsi="Times New Roman"/>
          <w:sz w:val="24"/>
        </w:rPr>
        <w:t xml:space="preserve"> Seventh Circuit Court of Appeals has stated that the “writing must precede the creation of the property in order to serve its purpose of identifying the (</w:t>
      </w:r>
      <w:proofErr w:type="spellStart"/>
      <w:r>
        <w:rPr>
          <w:rFonts w:ascii="Times New Roman" w:hAnsi="Times New Roman"/>
          <w:sz w:val="24"/>
        </w:rPr>
        <w:t>noncreator</w:t>
      </w:r>
      <w:proofErr w:type="spellEnd"/>
      <w:r>
        <w:rPr>
          <w:rFonts w:ascii="Times New Roman" w:hAnsi="Times New Roman"/>
          <w:sz w:val="24"/>
        </w:rPr>
        <w:t xml:space="preserve">) owner unequivocally.” </w:t>
      </w:r>
      <w:proofErr w:type="gramStart"/>
      <w:r>
        <w:rPr>
          <w:rFonts w:ascii="Times New Roman" w:hAnsi="Times New Roman"/>
          <w:i/>
          <w:sz w:val="24"/>
        </w:rPr>
        <w:t xml:space="preserve">Schiller, </w:t>
      </w:r>
      <w:r>
        <w:rPr>
          <w:rFonts w:ascii="Times New Roman" w:hAnsi="Times New Roman"/>
          <w:sz w:val="24"/>
        </w:rPr>
        <w:t>969 F. 2d at 413.</w:t>
      </w:r>
      <w:proofErr w:type="gramEnd"/>
      <w:r>
        <w:rPr>
          <w:rFonts w:ascii="Times New Roman" w:hAnsi="Times New Roman"/>
          <w:sz w:val="24"/>
        </w:rPr>
        <w:t xml:space="preserve"> Following this decision, the court again stated that, in the case of commissioned works made for hire like this screenplay, “the parties must agree in advance that that is what it will be.” </w:t>
      </w:r>
      <w:proofErr w:type="gramStart"/>
      <w:r>
        <w:rPr>
          <w:rFonts w:ascii="Times New Roman" w:hAnsi="Times New Roman"/>
          <w:i/>
          <w:sz w:val="24"/>
        </w:rPr>
        <w:t>Billy-Bob Teeth, Inc. v. Novelty, Inc.</w:t>
      </w:r>
      <w:r>
        <w:rPr>
          <w:rFonts w:ascii="Times New Roman" w:hAnsi="Times New Roman"/>
          <w:sz w:val="24"/>
        </w:rPr>
        <w:t>, 329 F. 3d 586, 591 (7th Cir. 2003).</w:t>
      </w:r>
      <w:proofErr w:type="gramEnd"/>
      <w:r>
        <w:rPr>
          <w:rFonts w:ascii="Times New Roman" w:hAnsi="Times New Roman"/>
          <w:sz w:val="24"/>
        </w:rPr>
        <w:t xml:space="preserve"> Other courts have agreed that, considering legislative intent in enacting the Copyright Act, a “work for hire” agreement should be signed before the work is created. </w:t>
      </w:r>
      <w:r w:rsidRPr="000144B4">
        <w:rPr>
          <w:rFonts w:ascii="Times New Roman" w:hAnsi="Times New Roman"/>
          <w:i/>
          <w:sz w:val="24"/>
        </w:rPr>
        <w:t xml:space="preserve">See </w:t>
      </w:r>
      <w:r>
        <w:rPr>
          <w:rFonts w:ascii="Times New Roman" w:hAnsi="Times New Roman"/>
          <w:i/>
          <w:sz w:val="24"/>
        </w:rPr>
        <w:t xml:space="preserve">Playboy, </w:t>
      </w:r>
      <w:r>
        <w:rPr>
          <w:rFonts w:ascii="Times New Roman" w:hAnsi="Times New Roman"/>
          <w:sz w:val="24"/>
        </w:rPr>
        <w:t xml:space="preserve">53 F.3d at 559 (stating that “Congress’s goal of ‘predictability’ would be thwarted” if a “work for hire” agreement could be signed after the work had already been created). </w:t>
      </w:r>
    </w:p>
    <w:p w14:paraId="63D05AEB" w14:textId="77777777" w:rsidR="009C445A" w:rsidRDefault="009C445A" w:rsidP="005B5482">
      <w:pPr>
        <w:spacing w:after="0" w:line="480" w:lineRule="auto"/>
        <w:jc w:val="center"/>
        <w:rPr>
          <w:rFonts w:ascii="Times New Roman" w:hAnsi="Times New Roman"/>
          <w:b/>
          <w:sz w:val="24"/>
        </w:rPr>
      </w:pPr>
      <w:r>
        <w:rPr>
          <w:rFonts w:ascii="Times New Roman" w:hAnsi="Times New Roman"/>
          <w:b/>
          <w:sz w:val="24"/>
        </w:rPr>
        <w:t>CONCLUSION</w:t>
      </w:r>
    </w:p>
    <w:p w14:paraId="4B3CD33F" w14:textId="77777777" w:rsidR="009C445A" w:rsidRDefault="009C445A" w:rsidP="0026483D">
      <w:pPr>
        <w:spacing w:after="0" w:line="480" w:lineRule="auto"/>
        <w:ind w:firstLine="720"/>
        <w:rPr>
          <w:rFonts w:ascii="Times New Roman" w:hAnsi="Times New Roman"/>
          <w:sz w:val="24"/>
        </w:rPr>
      </w:pPr>
      <w:r>
        <w:rPr>
          <w:rFonts w:ascii="Times New Roman" w:hAnsi="Times New Roman"/>
          <w:sz w:val="24"/>
        </w:rPr>
        <w:t xml:space="preserve">Based on the pleadings and the uncontested facts of this case, the court should enter judgment in favor of the defendants and dismiss this case he plain language 17 U.S.C. §101(2) creates a time requirement. The written agreement establishing a “work for hire” must be signed before the work is created. The importance of a written agreement in transferring copyright ownership means that oral agreement between Lime and OGS has no legal significance. OGS did not attempt to transfer copyright in “Anticipatory Repudiation,” which would have been viable, </w:t>
      </w:r>
      <w:r>
        <w:rPr>
          <w:rFonts w:ascii="Times New Roman" w:hAnsi="Times New Roman"/>
          <w:sz w:val="24"/>
        </w:rPr>
        <w:lastRenderedPageBreak/>
        <w:t>but instead attempted to retroactively create a “work for hire” contract with Lime. This goes against Congress’ intent to create a system that both protects artists’ rights to their own work and promotes clarity in copyright ownership, as shown in the legislative history of the Copyright Act. For these reasons, the court should dismiss this case.</w:t>
      </w:r>
    </w:p>
    <w:p w14:paraId="7780E49C" w14:textId="77777777" w:rsidR="009C445A" w:rsidRDefault="009C445A" w:rsidP="00677DA2">
      <w:pPr>
        <w:spacing w:after="0" w:line="480" w:lineRule="auto"/>
        <w:rPr>
          <w:rFonts w:ascii="Times New Roman" w:hAnsi="Times New Roman"/>
          <w:sz w:val="24"/>
        </w:rPr>
      </w:pPr>
    </w:p>
    <w:p w14:paraId="26CF34E0" w14:textId="77777777" w:rsidR="009C445A" w:rsidRDefault="009C445A" w:rsidP="00677DA2">
      <w:pPr>
        <w:spacing w:after="0" w:line="480" w:lineRule="auto"/>
        <w:rPr>
          <w:rFonts w:ascii="Times New Roman" w:hAnsi="Times New Roman"/>
          <w:sz w:val="24"/>
        </w:rPr>
      </w:pPr>
      <w:r>
        <w:rPr>
          <w:rFonts w:ascii="Times New Roman" w:hAnsi="Times New Roman"/>
          <w:sz w:val="24"/>
        </w:rPr>
        <w:t>Dated:  2, 2012</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14:paraId="762C471E" w14:textId="77777777" w:rsidR="009C445A" w:rsidRDefault="009C445A" w:rsidP="00677DA2">
      <w:pPr>
        <w:spacing w:after="0" w:line="480" w:lineRule="auto"/>
        <w:rPr>
          <w:rFonts w:ascii="Times New Roman" w:hAnsi="Times New Roman"/>
          <w:sz w:val="24"/>
        </w:rPr>
      </w:pPr>
    </w:p>
    <w:p w14:paraId="1BB1509F" w14:textId="77777777" w:rsidR="009C445A" w:rsidRPr="0026483D" w:rsidRDefault="009C445A" w:rsidP="00484D13">
      <w:pPr>
        <w:spacing w:after="0" w:line="240" w:lineRule="auto"/>
        <w:jc w:val="right"/>
        <w:rPr>
          <w:rFonts w:ascii="Times New Roman" w:hAnsi="Times New Roman"/>
          <w:sz w:val="24"/>
        </w:rPr>
      </w:pPr>
      <w:proofErr w:type="gramStart"/>
      <w:r w:rsidRPr="00945E73">
        <w:rPr>
          <w:rFonts w:ascii="Times New Roman" w:hAnsi="Times New Roman"/>
          <w:sz w:val="24"/>
          <w:u w:val="single"/>
        </w:rPr>
        <w:t>s</w:t>
      </w:r>
      <w:proofErr w:type="gramEnd"/>
      <w:r w:rsidR="00484D13">
        <w:rPr>
          <w:rFonts w:ascii="Times New Roman" w:eastAsia="Times New Roman" w:hAnsi="Times New Roman"/>
          <w:sz w:val="24"/>
          <w:szCs w:val="24"/>
        </w:rPr>
        <w:t>&lt;redacted&gt;&lt;/redacted&gt;</w:t>
      </w:r>
      <w:bookmarkStart w:id="0" w:name="_GoBack"/>
      <w:bookmarkEnd w:id="0"/>
    </w:p>
    <w:p w14:paraId="7C6EAE03" w14:textId="77777777" w:rsidR="009C445A" w:rsidRPr="00412124" w:rsidRDefault="009C445A" w:rsidP="00484D13">
      <w:pPr>
        <w:spacing w:after="0" w:line="480" w:lineRule="auto"/>
        <w:rPr>
          <w:rFonts w:ascii="Times New Roman" w:hAnsi="Times New Roman"/>
          <w:sz w:val="24"/>
        </w:rPr>
      </w:pPr>
    </w:p>
    <w:p w14:paraId="3D16A984" w14:textId="77777777" w:rsidR="009C445A" w:rsidRPr="00E96246" w:rsidRDefault="009C445A" w:rsidP="00484D13">
      <w:pPr>
        <w:spacing w:after="0" w:line="480" w:lineRule="auto"/>
        <w:rPr>
          <w:rFonts w:ascii="Times New Roman" w:hAnsi="Times New Roman"/>
          <w:sz w:val="24"/>
        </w:rPr>
      </w:pPr>
    </w:p>
    <w:sectPr w:rsidR="009C445A" w:rsidRPr="00E96246" w:rsidSect="003674C3">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846D9" w14:textId="77777777" w:rsidR="009A2CC8" w:rsidRDefault="009A2CC8" w:rsidP="0074377D">
      <w:pPr>
        <w:spacing w:after="0" w:line="240" w:lineRule="auto"/>
      </w:pPr>
      <w:r>
        <w:separator/>
      </w:r>
    </w:p>
  </w:endnote>
  <w:endnote w:type="continuationSeparator" w:id="0">
    <w:p w14:paraId="476B8FD5" w14:textId="77777777" w:rsidR="009A2CC8" w:rsidRDefault="009A2CC8" w:rsidP="00743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A8F91" w14:textId="77777777" w:rsidR="009C445A" w:rsidRPr="000559B1" w:rsidRDefault="009A2CC8">
    <w:pPr>
      <w:pStyle w:val="Footer"/>
      <w:jc w:val="center"/>
      <w:rPr>
        <w:rFonts w:ascii="Times New Roman" w:hAnsi="Times New Roman"/>
        <w:sz w:val="24"/>
      </w:rPr>
    </w:pPr>
    <w:r>
      <w:fldChar w:fldCharType="begin"/>
    </w:r>
    <w:r>
      <w:instrText xml:space="preserve"> PAGE   \* MERGEFORMAT </w:instrText>
    </w:r>
    <w:r>
      <w:fldChar w:fldCharType="separate"/>
    </w:r>
    <w:r w:rsidR="00484D13" w:rsidRPr="00484D13">
      <w:rPr>
        <w:rFonts w:ascii="Times New Roman" w:hAnsi="Times New Roman"/>
        <w:noProof/>
        <w:sz w:val="24"/>
      </w:rPr>
      <w:t>9</w:t>
    </w:r>
    <w:r>
      <w:rPr>
        <w:rFonts w:ascii="Times New Roman" w:hAnsi="Times New Roman"/>
        <w:noProof/>
        <w:sz w:val="24"/>
      </w:rPr>
      <w:fldChar w:fldCharType="end"/>
    </w:r>
  </w:p>
  <w:p w14:paraId="14E29228" w14:textId="77777777" w:rsidR="009C445A" w:rsidRDefault="009C445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9D52D" w14:textId="77777777" w:rsidR="009A2CC8" w:rsidRDefault="009A2CC8" w:rsidP="0074377D">
      <w:pPr>
        <w:spacing w:after="0" w:line="240" w:lineRule="auto"/>
      </w:pPr>
      <w:r>
        <w:separator/>
      </w:r>
    </w:p>
  </w:footnote>
  <w:footnote w:type="continuationSeparator" w:id="0">
    <w:p w14:paraId="0F4CD872" w14:textId="77777777" w:rsidR="009A2CC8" w:rsidRDefault="009A2CC8" w:rsidP="0074377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A2ECC"/>
    <w:multiLevelType w:val="hybridMultilevel"/>
    <w:tmpl w:val="A2865974"/>
    <w:lvl w:ilvl="0" w:tplc="358A817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B634D2"/>
    <w:multiLevelType w:val="hybridMultilevel"/>
    <w:tmpl w:val="4F7A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54853EB"/>
    <w:multiLevelType w:val="hybridMultilevel"/>
    <w:tmpl w:val="306E464C"/>
    <w:lvl w:ilvl="0" w:tplc="20A6CD58">
      <w:start w:val="1"/>
      <w:numFmt w:val="upperRoman"/>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F83EE5"/>
    <w:multiLevelType w:val="hybridMultilevel"/>
    <w:tmpl w:val="1A385C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63F03E32"/>
    <w:multiLevelType w:val="hybridMultilevel"/>
    <w:tmpl w:val="92C4E4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7BDB4D8E"/>
    <w:multiLevelType w:val="hybridMultilevel"/>
    <w:tmpl w:val="F8465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246"/>
    <w:rsid w:val="00003033"/>
    <w:rsid w:val="000106F7"/>
    <w:rsid w:val="0001269D"/>
    <w:rsid w:val="000144B4"/>
    <w:rsid w:val="00014EFB"/>
    <w:rsid w:val="00020B82"/>
    <w:rsid w:val="00042A49"/>
    <w:rsid w:val="000559B1"/>
    <w:rsid w:val="00064AB5"/>
    <w:rsid w:val="00064B29"/>
    <w:rsid w:val="00071E53"/>
    <w:rsid w:val="0007572D"/>
    <w:rsid w:val="00077278"/>
    <w:rsid w:val="00077A7D"/>
    <w:rsid w:val="000835F0"/>
    <w:rsid w:val="00083B74"/>
    <w:rsid w:val="000902C7"/>
    <w:rsid w:val="000A2BED"/>
    <w:rsid w:val="000A4932"/>
    <w:rsid w:val="000B41DE"/>
    <w:rsid w:val="000C1722"/>
    <w:rsid w:val="000C486A"/>
    <w:rsid w:val="000E4468"/>
    <w:rsid w:val="000E4FB5"/>
    <w:rsid w:val="000F00C9"/>
    <w:rsid w:val="00100AC7"/>
    <w:rsid w:val="00106290"/>
    <w:rsid w:val="00106820"/>
    <w:rsid w:val="00111817"/>
    <w:rsid w:val="0011602C"/>
    <w:rsid w:val="00116433"/>
    <w:rsid w:val="00127757"/>
    <w:rsid w:val="001452EB"/>
    <w:rsid w:val="001460B5"/>
    <w:rsid w:val="001705C5"/>
    <w:rsid w:val="00170CBD"/>
    <w:rsid w:val="0017510A"/>
    <w:rsid w:val="00176EAA"/>
    <w:rsid w:val="0018242F"/>
    <w:rsid w:val="00184205"/>
    <w:rsid w:val="0019296F"/>
    <w:rsid w:val="001C2F2F"/>
    <w:rsid w:val="001C64B5"/>
    <w:rsid w:val="001C6B74"/>
    <w:rsid w:val="001E0B04"/>
    <w:rsid w:val="001F255B"/>
    <w:rsid w:val="00216297"/>
    <w:rsid w:val="00232226"/>
    <w:rsid w:val="00237D4C"/>
    <w:rsid w:val="0025456F"/>
    <w:rsid w:val="0026483D"/>
    <w:rsid w:val="00270907"/>
    <w:rsid w:val="00286FBC"/>
    <w:rsid w:val="00294704"/>
    <w:rsid w:val="00296BE1"/>
    <w:rsid w:val="002B375A"/>
    <w:rsid w:val="002B6505"/>
    <w:rsid w:val="002D0407"/>
    <w:rsid w:val="002D5D13"/>
    <w:rsid w:val="002D64FE"/>
    <w:rsid w:val="002E2503"/>
    <w:rsid w:val="002F6C87"/>
    <w:rsid w:val="00310B7E"/>
    <w:rsid w:val="0032341C"/>
    <w:rsid w:val="00331EBE"/>
    <w:rsid w:val="00333B9A"/>
    <w:rsid w:val="003428A4"/>
    <w:rsid w:val="00345BA4"/>
    <w:rsid w:val="003672FA"/>
    <w:rsid w:val="003674C3"/>
    <w:rsid w:val="003710CE"/>
    <w:rsid w:val="003819E6"/>
    <w:rsid w:val="00391437"/>
    <w:rsid w:val="003946C5"/>
    <w:rsid w:val="003B00BB"/>
    <w:rsid w:val="003E0B9D"/>
    <w:rsid w:val="003E31EE"/>
    <w:rsid w:val="003F01B4"/>
    <w:rsid w:val="003F5570"/>
    <w:rsid w:val="003F71D6"/>
    <w:rsid w:val="00412124"/>
    <w:rsid w:val="00414698"/>
    <w:rsid w:val="00416DC5"/>
    <w:rsid w:val="0044275A"/>
    <w:rsid w:val="00452A21"/>
    <w:rsid w:val="004575D2"/>
    <w:rsid w:val="00463877"/>
    <w:rsid w:val="0046704A"/>
    <w:rsid w:val="004816E1"/>
    <w:rsid w:val="00484D13"/>
    <w:rsid w:val="004A19DD"/>
    <w:rsid w:val="004B34AA"/>
    <w:rsid w:val="004B5820"/>
    <w:rsid w:val="004C273E"/>
    <w:rsid w:val="004C5E9A"/>
    <w:rsid w:val="004D0AB8"/>
    <w:rsid w:val="004D53E2"/>
    <w:rsid w:val="004E46B8"/>
    <w:rsid w:val="004E6D99"/>
    <w:rsid w:val="004E7213"/>
    <w:rsid w:val="005173A9"/>
    <w:rsid w:val="00526E47"/>
    <w:rsid w:val="00530172"/>
    <w:rsid w:val="005342AC"/>
    <w:rsid w:val="00543199"/>
    <w:rsid w:val="00551C34"/>
    <w:rsid w:val="00567FD1"/>
    <w:rsid w:val="00590D7A"/>
    <w:rsid w:val="00596C8A"/>
    <w:rsid w:val="005A363C"/>
    <w:rsid w:val="005A7880"/>
    <w:rsid w:val="005B1285"/>
    <w:rsid w:val="005B5482"/>
    <w:rsid w:val="005D1039"/>
    <w:rsid w:val="005D4E59"/>
    <w:rsid w:val="005D58F8"/>
    <w:rsid w:val="005E15FC"/>
    <w:rsid w:val="005F187C"/>
    <w:rsid w:val="005F7C0A"/>
    <w:rsid w:val="00605755"/>
    <w:rsid w:val="00607623"/>
    <w:rsid w:val="006104CB"/>
    <w:rsid w:val="00613CF4"/>
    <w:rsid w:val="00614226"/>
    <w:rsid w:val="006326FA"/>
    <w:rsid w:val="006619E1"/>
    <w:rsid w:val="006633B4"/>
    <w:rsid w:val="00670304"/>
    <w:rsid w:val="00677DA2"/>
    <w:rsid w:val="006A78DA"/>
    <w:rsid w:val="006A7EEB"/>
    <w:rsid w:val="006B4D49"/>
    <w:rsid w:val="006C070D"/>
    <w:rsid w:val="006C2974"/>
    <w:rsid w:val="006C2C0B"/>
    <w:rsid w:val="006D3994"/>
    <w:rsid w:val="006F0EBE"/>
    <w:rsid w:val="006F1C34"/>
    <w:rsid w:val="006F5C0A"/>
    <w:rsid w:val="007063F7"/>
    <w:rsid w:val="007153C5"/>
    <w:rsid w:val="007168EF"/>
    <w:rsid w:val="007309FE"/>
    <w:rsid w:val="00731F1B"/>
    <w:rsid w:val="0074086A"/>
    <w:rsid w:val="00742CE8"/>
    <w:rsid w:val="0074377D"/>
    <w:rsid w:val="00743C6E"/>
    <w:rsid w:val="00761492"/>
    <w:rsid w:val="00762D8C"/>
    <w:rsid w:val="00776357"/>
    <w:rsid w:val="00792604"/>
    <w:rsid w:val="00793241"/>
    <w:rsid w:val="007A1A5A"/>
    <w:rsid w:val="007A4C5A"/>
    <w:rsid w:val="007A4F24"/>
    <w:rsid w:val="007A5B0E"/>
    <w:rsid w:val="007B0280"/>
    <w:rsid w:val="007C508E"/>
    <w:rsid w:val="007D6445"/>
    <w:rsid w:val="007E577E"/>
    <w:rsid w:val="007E6EC1"/>
    <w:rsid w:val="007F1362"/>
    <w:rsid w:val="007F276E"/>
    <w:rsid w:val="007F32D9"/>
    <w:rsid w:val="00810BFE"/>
    <w:rsid w:val="00814FA1"/>
    <w:rsid w:val="00825875"/>
    <w:rsid w:val="008270FF"/>
    <w:rsid w:val="0083729B"/>
    <w:rsid w:val="00841C79"/>
    <w:rsid w:val="00841E32"/>
    <w:rsid w:val="0085473A"/>
    <w:rsid w:val="00863986"/>
    <w:rsid w:val="008657E8"/>
    <w:rsid w:val="00882679"/>
    <w:rsid w:val="008B0CDD"/>
    <w:rsid w:val="008B304B"/>
    <w:rsid w:val="008D3B0B"/>
    <w:rsid w:val="008E70B7"/>
    <w:rsid w:val="00903470"/>
    <w:rsid w:val="009064FF"/>
    <w:rsid w:val="00911358"/>
    <w:rsid w:val="00914536"/>
    <w:rsid w:val="009153C6"/>
    <w:rsid w:val="009169CF"/>
    <w:rsid w:val="00920078"/>
    <w:rsid w:val="00920335"/>
    <w:rsid w:val="00931F96"/>
    <w:rsid w:val="00945E73"/>
    <w:rsid w:val="009525D3"/>
    <w:rsid w:val="00957D54"/>
    <w:rsid w:val="00976ED0"/>
    <w:rsid w:val="00986FCF"/>
    <w:rsid w:val="00992A7C"/>
    <w:rsid w:val="0099541C"/>
    <w:rsid w:val="009957C4"/>
    <w:rsid w:val="009A2CC8"/>
    <w:rsid w:val="009B137A"/>
    <w:rsid w:val="009B185C"/>
    <w:rsid w:val="009B2986"/>
    <w:rsid w:val="009B4086"/>
    <w:rsid w:val="009C445A"/>
    <w:rsid w:val="009C6F21"/>
    <w:rsid w:val="009D32A8"/>
    <w:rsid w:val="009E1224"/>
    <w:rsid w:val="009E33BC"/>
    <w:rsid w:val="009F293E"/>
    <w:rsid w:val="009F776D"/>
    <w:rsid w:val="00A02B5E"/>
    <w:rsid w:val="00A11A1D"/>
    <w:rsid w:val="00A15225"/>
    <w:rsid w:val="00A45DBC"/>
    <w:rsid w:val="00A61FFA"/>
    <w:rsid w:val="00A76C69"/>
    <w:rsid w:val="00A83C03"/>
    <w:rsid w:val="00A842E2"/>
    <w:rsid w:val="00AB17A5"/>
    <w:rsid w:val="00AC5708"/>
    <w:rsid w:val="00AE06FD"/>
    <w:rsid w:val="00AF0ABE"/>
    <w:rsid w:val="00B22A16"/>
    <w:rsid w:val="00B26AF1"/>
    <w:rsid w:val="00B27C9E"/>
    <w:rsid w:val="00B323D6"/>
    <w:rsid w:val="00B51876"/>
    <w:rsid w:val="00B722DB"/>
    <w:rsid w:val="00B72499"/>
    <w:rsid w:val="00B80695"/>
    <w:rsid w:val="00B84A67"/>
    <w:rsid w:val="00B93FFD"/>
    <w:rsid w:val="00B94A71"/>
    <w:rsid w:val="00B97A68"/>
    <w:rsid w:val="00BB7B50"/>
    <w:rsid w:val="00BC002C"/>
    <w:rsid w:val="00BC40AA"/>
    <w:rsid w:val="00BD5C6A"/>
    <w:rsid w:val="00BE2CF4"/>
    <w:rsid w:val="00BF1894"/>
    <w:rsid w:val="00C01F00"/>
    <w:rsid w:val="00C02FB7"/>
    <w:rsid w:val="00C07520"/>
    <w:rsid w:val="00C15F82"/>
    <w:rsid w:val="00C20261"/>
    <w:rsid w:val="00C20DB4"/>
    <w:rsid w:val="00C21569"/>
    <w:rsid w:val="00C22395"/>
    <w:rsid w:val="00C27F5C"/>
    <w:rsid w:val="00C3515F"/>
    <w:rsid w:val="00C42EFC"/>
    <w:rsid w:val="00C4336C"/>
    <w:rsid w:val="00C562C2"/>
    <w:rsid w:val="00C5759F"/>
    <w:rsid w:val="00C6165A"/>
    <w:rsid w:val="00C8127C"/>
    <w:rsid w:val="00C84E90"/>
    <w:rsid w:val="00C90AC6"/>
    <w:rsid w:val="00C914D3"/>
    <w:rsid w:val="00C91624"/>
    <w:rsid w:val="00C92658"/>
    <w:rsid w:val="00C97B58"/>
    <w:rsid w:val="00CA3508"/>
    <w:rsid w:val="00CC27E7"/>
    <w:rsid w:val="00CD13D8"/>
    <w:rsid w:val="00CD290D"/>
    <w:rsid w:val="00CD657D"/>
    <w:rsid w:val="00CE3906"/>
    <w:rsid w:val="00CF32F2"/>
    <w:rsid w:val="00D00EFA"/>
    <w:rsid w:val="00D04567"/>
    <w:rsid w:val="00D16475"/>
    <w:rsid w:val="00D40C0E"/>
    <w:rsid w:val="00D423BF"/>
    <w:rsid w:val="00D42C8B"/>
    <w:rsid w:val="00D475DC"/>
    <w:rsid w:val="00D47F3C"/>
    <w:rsid w:val="00D53BB4"/>
    <w:rsid w:val="00D56785"/>
    <w:rsid w:val="00D576A1"/>
    <w:rsid w:val="00D72D5A"/>
    <w:rsid w:val="00D76DBD"/>
    <w:rsid w:val="00D81D29"/>
    <w:rsid w:val="00D8580C"/>
    <w:rsid w:val="00D8647F"/>
    <w:rsid w:val="00D94E26"/>
    <w:rsid w:val="00DA47DC"/>
    <w:rsid w:val="00DA7BCD"/>
    <w:rsid w:val="00DC3D5D"/>
    <w:rsid w:val="00DD3038"/>
    <w:rsid w:val="00DE1061"/>
    <w:rsid w:val="00E01947"/>
    <w:rsid w:val="00E03EF6"/>
    <w:rsid w:val="00E04D0D"/>
    <w:rsid w:val="00E2183F"/>
    <w:rsid w:val="00E27A90"/>
    <w:rsid w:val="00E3120C"/>
    <w:rsid w:val="00E32B81"/>
    <w:rsid w:val="00E350C6"/>
    <w:rsid w:val="00E5037B"/>
    <w:rsid w:val="00E6624E"/>
    <w:rsid w:val="00E703AD"/>
    <w:rsid w:val="00E84997"/>
    <w:rsid w:val="00E96246"/>
    <w:rsid w:val="00EA776B"/>
    <w:rsid w:val="00EB2E4B"/>
    <w:rsid w:val="00EB7E48"/>
    <w:rsid w:val="00ED02E3"/>
    <w:rsid w:val="00EF51A7"/>
    <w:rsid w:val="00F16424"/>
    <w:rsid w:val="00F21439"/>
    <w:rsid w:val="00F312EB"/>
    <w:rsid w:val="00F34B55"/>
    <w:rsid w:val="00F362B6"/>
    <w:rsid w:val="00F40A08"/>
    <w:rsid w:val="00F46FF3"/>
    <w:rsid w:val="00F51DF0"/>
    <w:rsid w:val="00F648C3"/>
    <w:rsid w:val="00F71285"/>
    <w:rsid w:val="00F846C8"/>
    <w:rsid w:val="00F9447F"/>
    <w:rsid w:val="00FA23B0"/>
    <w:rsid w:val="00FB166A"/>
    <w:rsid w:val="00FB16AB"/>
    <w:rsid w:val="00FC0FDE"/>
    <w:rsid w:val="00FC456B"/>
    <w:rsid w:val="00FC7E9F"/>
    <w:rsid w:val="00FD1394"/>
    <w:rsid w:val="00FD447D"/>
    <w:rsid w:val="00FD5ADA"/>
    <w:rsid w:val="00FE0F9E"/>
    <w:rsid w:val="00FE335D"/>
    <w:rsid w:val="00FE45C0"/>
    <w:rsid w:val="00FE6789"/>
    <w:rsid w:val="00FF622B"/>
    <w:rsid w:val="00FF783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1828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uiPriority="1"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3B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9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99"/>
    <w:rsid w:val="00E9624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shd w:val="clear" w:color="auto" w:fill="auto"/>
      </w:rPr>
      <w:tblPr/>
      <w:tcPr>
        <w:shd w:val="clear" w:color="auto" w:fill="4F81BD"/>
      </w:tcPr>
    </w:tblStylePr>
    <w:tblStylePr w:type="lastRow">
      <w:pPr>
        <w:spacing w:before="0" w:after="0"/>
      </w:pPr>
      <w:rPr>
        <w:rFonts w:cs="Times New Roman"/>
        <w:b/>
        <w:bCs/>
        <w:shd w:val="clear" w:color="auto" w:fill="auto"/>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shd w:val="clear" w:color="auto" w:fill="auto"/>
      </w:rPr>
    </w:tblStylePr>
    <w:tblStylePr w:type="lastCol">
      <w:rPr>
        <w:rFonts w:cs="Times New Roman"/>
        <w:b/>
        <w:bCs/>
        <w:shd w:val="clear" w:color="auto" w:fill="auto"/>
      </w:rPr>
    </w:tblStylePr>
    <w:tblStylePr w:type="band1Vert">
      <w:rPr>
        <w:rFonts w:cs="Times New Roman"/>
        <w:shd w:val="clear" w:color="auto" w:fill="auto"/>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shd w:val="clear" w:color="auto" w:fill="auto"/>
      </w:rPr>
      <w:tblPr/>
      <w:tcPr>
        <w:tcBorders>
          <w:top w:val="single" w:sz="8" w:space="0" w:color="4F81BD"/>
          <w:left w:val="single" w:sz="8" w:space="0" w:color="4F81BD"/>
          <w:bottom w:val="single" w:sz="8" w:space="0" w:color="4F81BD"/>
          <w:right w:val="single" w:sz="8" w:space="0" w:color="4F81BD"/>
        </w:tcBorders>
      </w:tcPr>
    </w:tblStylePr>
  </w:style>
  <w:style w:type="table" w:styleId="MediumList1-Accent4">
    <w:name w:val="Medium List 1 Accent 4"/>
    <w:basedOn w:val="TableNormal"/>
    <w:uiPriority w:val="99"/>
    <w:rsid w:val="00E96246"/>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Times New Roman" w:eastAsia="Times New Roman" w:hAnsi="Times New Roman" w:cs="Times New Roman"/>
        <w:shd w:val="clear" w:color="auto" w:fill="auto"/>
      </w:rPr>
      <w:tblPr/>
      <w:tcPr>
        <w:tcBorders>
          <w:top w:val="nil"/>
          <w:bottom w:val="single" w:sz="8" w:space="0" w:color="8064A2"/>
        </w:tcBorders>
      </w:tcPr>
    </w:tblStylePr>
    <w:tblStylePr w:type="lastRow">
      <w:rPr>
        <w:rFonts w:cs="Times New Roman"/>
        <w:b/>
        <w:bCs/>
        <w:color w:val="1F497D"/>
        <w:shd w:val="clear" w:color="auto" w:fill="auto"/>
      </w:rPr>
      <w:tblPr/>
      <w:tcPr>
        <w:tcBorders>
          <w:top w:val="single" w:sz="8" w:space="0" w:color="8064A2"/>
          <w:bottom w:val="single" w:sz="8" w:space="0" w:color="8064A2"/>
        </w:tcBorders>
      </w:tcPr>
    </w:tblStylePr>
    <w:tblStylePr w:type="firstCol">
      <w:rPr>
        <w:rFonts w:cs="Times New Roman"/>
        <w:b/>
        <w:bCs/>
        <w:shd w:val="clear" w:color="auto" w:fill="auto"/>
      </w:rPr>
    </w:tblStylePr>
    <w:tblStylePr w:type="lastCol">
      <w:rPr>
        <w:rFonts w:cs="Times New Roman"/>
        <w:b/>
        <w:bCs/>
        <w:shd w:val="clear" w:color="auto" w:fill="auto"/>
      </w:rPr>
      <w:tblPr/>
      <w:tcPr>
        <w:tcBorders>
          <w:top w:val="single" w:sz="8" w:space="0" w:color="8064A2"/>
          <w:bottom w:val="single" w:sz="8" w:space="0" w:color="8064A2"/>
        </w:tcBorders>
      </w:tcPr>
    </w:tblStylePr>
    <w:tblStylePr w:type="band1Vert">
      <w:rPr>
        <w:rFonts w:cs="Times New Roman"/>
        <w:shd w:val="clear" w:color="auto" w:fill="auto"/>
      </w:rPr>
      <w:tblPr/>
      <w:tcPr>
        <w:shd w:val="clear" w:color="auto" w:fill="DFD8E8"/>
      </w:tcPr>
    </w:tblStylePr>
    <w:tblStylePr w:type="band1Horz">
      <w:rPr>
        <w:rFonts w:cs="Times New Roman"/>
        <w:shd w:val="clear" w:color="auto" w:fill="auto"/>
      </w:rPr>
      <w:tblPr/>
      <w:tcPr>
        <w:shd w:val="clear" w:color="auto" w:fill="DFD8E8"/>
      </w:tcPr>
    </w:tblStylePr>
  </w:style>
  <w:style w:type="table" w:styleId="MediumList1">
    <w:name w:val="Medium List 1"/>
    <w:basedOn w:val="TableNormal"/>
    <w:uiPriority w:val="99"/>
    <w:rsid w:val="00E9624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w:eastAsia="Times New Roman" w:hAnsi="Times New Roman" w:cs="Times New Roman"/>
        <w:shd w:val="clear" w:color="auto" w:fill="auto"/>
      </w:rPr>
      <w:tblPr/>
      <w:tcPr>
        <w:tcBorders>
          <w:top w:val="nil"/>
          <w:bottom w:val="single" w:sz="8" w:space="0" w:color="000000"/>
        </w:tcBorders>
      </w:tcPr>
    </w:tblStylePr>
    <w:tblStylePr w:type="lastRow">
      <w:rPr>
        <w:rFonts w:cs="Times New Roman"/>
        <w:b/>
        <w:bCs/>
        <w:color w:val="1F497D"/>
        <w:shd w:val="clear" w:color="auto" w:fill="auto"/>
      </w:rPr>
      <w:tblPr/>
      <w:tcPr>
        <w:tcBorders>
          <w:top w:val="single" w:sz="8" w:space="0" w:color="000000"/>
          <w:bottom w:val="single" w:sz="8" w:space="0" w:color="000000"/>
        </w:tcBorders>
      </w:tcPr>
    </w:tblStylePr>
    <w:tblStylePr w:type="firstCol">
      <w:rPr>
        <w:rFonts w:cs="Times New Roman"/>
        <w:b/>
        <w:bCs/>
        <w:shd w:val="clear" w:color="auto" w:fill="auto"/>
      </w:rPr>
    </w:tblStylePr>
    <w:tblStylePr w:type="lastCol">
      <w:rPr>
        <w:rFonts w:cs="Times New Roman"/>
        <w:b/>
        <w:bCs/>
        <w:shd w:val="clear" w:color="auto" w:fill="auto"/>
      </w:rPr>
      <w:tblPr/>
      <w:tcPr>
        <w:tcBorders>
          <w:top w:val="single" w:sz="8" w:space="0" w:color="000000"/>
          <w:bottom w:val="single" w:sz="8" w:space="0" w:color="000000"/>
        </w:tcBorders>
      </w:tcPr>
    </w:tblStylePr>
    <w:tblStylePr w:type="band1Vert">
      <w:rPr>
        <w:rFonts w:cs="Times New Roman"/>
        <w:shd w:val="clear" w:color="auto" w:fill="auto"/>
      </w:rPr>
      <w:tblPr/>
      <w:tcPr>
        <w:shd w:val="clear" w:color="auto" w:fill="C0C0C0"/>
      </w:tcPr>
    </w:tblStylePr>
    <w:tblStylePr w:type="band1Horz">
      <w:rPr>
        <w:rFonts w:cs="Times New Roman"/>
        <w:shd w:val="clear" w:color="auto" w:fill="auto"/>
      </w:rPr>
      <w:tblPr/>
      <w:tcPr>
        <w:shd w:val="clear" w:color="auto" w:fill="C0C0C0"/>
      </w:tcPr>
    </w:tblStylePr>
  </w:style>
  <w:style w:type="table" w:styleId="LightShading">
    <w:name w:val="Light Shading"/>
    <w:basedOn w:val="TableNormal"/>
    <w:uiPriority w:val="99"/>
    <w:rsid w:val="00E9624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shd w:val="clear" w:color="auto" w:fill="auto"/>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shd w:val="clear" w:color="auto" w:fill="auto"/>
      </w:rPr>
      <w:tblPr/>
      <w:tcPr>
        <w:tcBorders>
          <w:top w:val="single" w:sz="8" w:space="0" w:color="000000"/>
          <w:left w:val="nil"/>
          <w:bottom w:val="single" w:sz="8" w:space="0" w:color="000000"/>
          <w:right w:val="nil"/>
          <w:insideH w:val="nil"/>
          <w:insideV w:val="nil"/>
        </w:tcBorders>
      </w:tcPr>
    </w:tblStylePr>
    <w:tblStylePr w:type="firstCol">
      <w:rPr>
        <w:rFonts w:cs="Times New Roman"/>
        <w:b/>
        <w:bCs/>
        <w:shd w:val="clear" w:color="auto" w:fill="auto"/>
      </w:rPr>
    </w:tblStylePr>
    <w:tblStylePr w:type="lastCol">
      <w:rPr>
        <w:rFonts w:cs="Times New Roman"/>
        <w:b/>
        <w:bCs/>
        <w:shd w:val="clear" w:color="auto" w:fill="auto"/>
      </w:rPr>
    </w:tblStylePr>
    <w:tblStylePr w:type="band1Vert">
      <w:rPr>
        <w:rFonts w:cs="Times New Roman"/>
        <w:shd w:val="clear" w:color="auto" w:fill="auto"/>
      </w:rPr>
      <w:tblPr/>
      <w:tcPr>
        <w:tcBorders>
          <w:left w:val="nil"/>
          <w:right w:val="nil"/>
          <w:insideH w:val="nil"/>
          <w:insideV w:val="nil"/>
        </w:tcBorders>
        <w:shd w:val="clear" w:color="auto" w:fill="C0C0C0"/>
      </w:tcPr>
    </w:tblStylePr>
    <w:tblStylePr w:type="band1Horz">
      <w:rPr>
        <w:rFonts w:cs="Times New Roman"/>
        <w:shd w:val="clear" w:color="auto" w:fill="auto"/>
      </w:rPr>
      <w:tblPr/>
      <w:tcPr>
        <w:tcBorders>
          <w:left w:val="nil"/>
          <w:right w:val="nil"/>
          <w:insideH w:val="nil"/>
          <w:insideV w:val="nil"/>
        </w:tcBorders>
        <w:shd w:val="clear" w:color="auto" w:fill="C0C0C0"/>
      </w:tcPr>
    </w:tblStylePr>
  </w:style>
  <w:style w:type="character" w:styleId="Hyperlink">
    <w:name w:val="Hyperlink"/>
    <w:uiPriority w:val="99"/>
    <w:rsid w:val="00863986"/>
    <w:rPr>
      <w:rFonts w:cs="Times New Roman"/>
      <w:color w:val="0000FF"/>
      <w:u w:val="single"/>
    </w:rPr>
  </w:style>
  <w:style w:type="paragraph" w:styleId="Header">
    <w:name w:val="header"/>
    <w:basedOn w:val="Normal"/>
    <w:link w:val="HeaderChar"/>
    <w:uiPriority w:val="99"/>
    <w:rsid w:val="0074377D"/>
    <w:pPr>
      <w:tabs>
        <w:tab w:val="center" w:pos="4680"/>
        <w:tab w:val="right" w:pos="9360"/>
      </w:tabs>
    </w:pPr>
    <w:rPr>
      <w:szCs w:val="20"/>
    </w:rPr>
  </w:style>
  <w:style w:type="character" w:customStyle="1" w:styleId="HeaderChar">
    <w:name w:val="Header Char"/>
    <w:link w:val="Header"/>
    <w:uiPriority w:val="99"/>
    <w:rsid w:val="0074377D"/>
    <w:rPr>
      <w:sz w:val="22"/>
    </w:rPr>
  </w:style>
  <w:style w:type="paragraph" w:styleId="Footer">
    <w:name w:val="footer"/>
    <w:basedOn w:val="Normal"/>
    <w:link w:val="FooterChar"/>
    <w:uiPriority w:val="99"/>
    <w:semiHidden/>
    <w:rsid w:val="0074377D"/>
    <w:pPr>
      <w:tabs>
        <w:tab w:val="center" w:pos="4680"/>
        <w:tab w:val="right" w:pos="9360"/>
      </w:tabs>
    </w:pPr>
    <w:rPr>
      <w:szCs w:val="20"/>
    </w:rPr>
  </w:style>
  <w:style w:type="character" w:customStyle="1" w:styleId="FooterChar">
    <w:name w:val="Footer Char"/>
    <w:link w:val="Footer"/>
    <w:uiPriority w:val="99"/>
    <w:rsid w:val="0074377D"/>
    <w:rPr>
      <w:sz w:val="22"/>
    </w:rPr>
  </w:style>
  <w:style w:type="paragraph" w:styleId="BalloonText">
    <w:name w:val="Balloon Text"/>
    <w:basedOn w:val="Normal"/>
    <w:link w:val="BalloonTextChar"/>
    <w:uiPriority w:val="99"/>
    <w:semiHidden/>
    <w:rsid w:val="003674C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674C3"/>
    <w:rPr>
      <w:rFonts w:ascii="Tahoma" w:hAnsi="Tahoma" w:cs="Tahoma"/>
      <w:sz w:val="16"/>
    </w:rPr>
  </w:style>
  <w:style w:type="character" w:styleId="CommentReference">
    <w:name w:val="annotation reference"/>
    <w:uiPriority w:val="99"/>
    <w:semiHidden/>
    <w:rsid w:val="003674C3"/>
    <w:rPr>
      <w:rFonts w:cs="Times New Roman"/>
      <w:sz w:val="16"/>
    </w:rPr>
  </w:style>
  <w:style w:type="paragraph" w:styleId="CommentText">
    <w:name w:val="annotation text"/>
    <w:basedOn w:val="Normal"/>
    <w:link w:val="CommentTextChar"/>
    <w:uiPriority w:val="99"/>
    <w:semiHidden/>
    <w:rsid w:val="003674C3"/>
    <w:pPr>
      <w:spacing w:line="240" w:lineRule="auto"/>
    </w:pPr>
    <w:rPr>
      <w:sz w:val="20"/>
      <w:szCs w:val="20"/>
    </w:rPr>
  </w:style>
  <w:style w:type="character" w:customStyle="1" w:styleId="CommentTextChar">
    <w:name w:val="Comment Text Char"/>
    <w:link w:val="CommentText"/>
    <w:uiPriority w:val="99"/>
    <w:rsid w:val="003674C3"/>
    <w:rPr>
      <w:rFonts w:cs="Times New Roman"/>
    </w:rPr>
  </w:style>
  <w:style w:type="paragraph" w:styleId="CommentSubject">
    <w:name w:val="annotation subject"/>
    <w:basedOn w:val="CommentText"/>
    <w:next w:val="CommentText"/>
    <w:link w:val="CommentSubjectChar"/>
    <w:uiPriority w:val="99"/>
    <w:semiHidden/>
    <w:rsid w:val="003674C3"/>
    <w:rPr>
      <w:b/>
      <w:bCs/>
    </w:rPr>
  </w:style>
  <w:style w:type="character" w:customStyle="1" w:styleId="CommentSubjectChar">
    <w:name w:val="Comment Subject Char"/>
    <w:link w:val="CommentSubject"/>
    <w:uiPriority w:val="99"/>
    <w:semiHidden/>
    <w:rsid w:val="003674C3"/>
    <w:rPr>
      <w:rFonts w:cs="Times New Roman"/>
      <w:b/>
      <w:bCs/>
    </w:rPr>
  </w:style>
  <w:style w:type="paragraph" w:styleId="ListParagraph">
    <w:name w:val="List Paragraph"/>
    <w:basedOn w:val="Normal"/>
    <w:uiPriority w:val="99"/>
    <w:qFormat/>
    <w:rsid w:val="00296BE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uiPriority="1"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3B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9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99"/>
    <w:rsid w:val="00E9624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shd w:val="clear" w:color="auto" w:fill="auto"/>
      </w:rPr>
      <w:tblPr/>
      <w:tcPr>
        <w:shd w:val="clear" w:color="auto" w:fill="4F81BD"/>
      </w:tcPr>
    </w:tblStylePr>
    <w:tblStylePr w:type="lastRow">
      <w:pPr>
        <w:spacing w:before="0" w:after="0"/>
      </w:pPr>
      <w:rPr>
        <w:rFonts w:cs="Times New Roman"/>
        <w:b/>
        <w:bCs/>
        <w:shd w:val="clear" w:color="auto" w:fill="auto"/>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shd w:val="clear" w:color="auto" w:fill="auto"/>
      </w:rPr>
    </w:tblStylePr>
    <w:tblStylePr w:type="lastCol">
      <w:rPr>
        <w:rFonts w:cs="Times New Roman"/>
        <w:b/>
        <w:bCs/>
        <w:shd w:val="clear" w:color="auto" w:fill="auto"/>
      </w:rPr>
    </w:tblStylePr>
    <w:tblStylePr w:type="band1Vert">
      <w:rPr>
        <w:rFonts w:cs="Times New Roman"/>
        <w:shd w:val="clear" w:color="auto" w:fill="auto"/>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shd w:val="clear" w:color="auto" w:fill="auto"/>
      </w:rPr>
      <w:tblPr/>
      <w:tcPr>
        <w:tcBorders>
          <w:top w:val="single" w:sz="8" w:space="0" w:color="4F81BD"/>
          <w:left w:val="single" w:sz="8" w:space="0" w:color="4F81BD"/>
          <w:bottom w:val="single" w:sz="8" w:space="0" w:color="4F81BD"/>
          <w:right w:val="single" w:sz="8" w:space="0" w:color="4F81BD"/>
        </w:tcBorders>
      </w:tcPr>
    </w:tblStylePr>
  </w:style>
  <w:style w:type="table" w:styleId="MediumList1-Accent4">
    <w:name w:val="Medium List 1 Accent 4"/>
    <w:basedOn w:val="TableNormal"/>
    <w:uiPriority w:val="99"/>
    <w:rsid w:val="00E96246"/>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Times New Roman" w:eastAsia="Times New Roman" w:hAnsi="Times New Roman" w:cs="Times New Roman"/>
        <w:shd w:val="clear" w:color="auto" w:fill="auto"/>
      </w:rPr>
      <w:tblPr/>
      <w:tcPr>
        <w:tcBorders>
          <w:top w:val="nil"/>
          <w:bottom w:val="single" w:sz="8" w:space="0" w:color="8064A2"/>
        </w:tcBorders>
      </w:tcPr>
    </w:tblStylePr>
    <w:tblStylePr w:type="lastRow">
      <w:rPr>
        <w:rFonts w:cs="Times New Roman"/>
        <w:b/>
        <w:bCs/>
        <w:color w:val="1F497D"/>
        <w:shd w:val="clear" w:color="auto" w:fill="auto"/>
      </w:rPr>
      <w:tblPr/>
      <w:tcPr>
        <w:tcBorders>
          <w:top w:val="single" w:sz="8" w:space="0" w:color="8064A2"/>
          <w:bottom w:val="single" w:sz="8" w:space="0" w:color="8064A2"/>
        </w:tcBorders>
      </w:tcPr>
    </w:tblStylePr>
    <w:tblStylePr w:type="firstCol">
      <w:rPr>
        <w:rFonts w:cs="Times New Roman"/>
        <w:b/>
        <w:bCs/>
        <w:shd w:val="clear" w:color="auto" w:fill="auto"/>
      </w:rPr>
    </w:tblStylePr>
    <w:tblStylePr w:type="lastCol">
      <w:rPr>
        <w:rFonts w:cs="Times New Roman"/>
        <w:b/>
        <w:bCs/>
        <w:shd w:val="clear" w:color="auto" w:fill="auto"/>
      </w:rPr>
      <w:tblPr/>
      <w:tcPr>
        <w:tcBorders>
          <w:top w:val="single" w:sz="8" w:space="0" w:color="8064A2"/>
          <w:bottom w:val="single" w:sz="8" w:space="0" w:color="8064A2"/>
        </w:tcBorders>
      </w:tcPr>
    </w:tblStylePr>
    <w:tblStylePr w:type="band1Vert">
      <w:rPr>
        <w:rFonts w:cs="Times New Roman"/>
        <w:shd w:val="clear" w:color="auto" w:fill="auto"/>
      </w:rPr>
      <w:tblPr/>
      <w:tcPr>
        <w:shd w:val="clear" w:color="auto" w:fill="DFD8E8"/>
      </w:tcPr>
    </w:tblStylePr>
    <w:tblStylePr w:type="band1Horz">
      <w:rPr>
        <w:rFonts w:cs="Times New Roman"/>
        <w:shd w:val="clear" w:color="auto" w:fill="auto"/>
      </w:rPr>
      <w:tblPr/>
      <w:tcPr>
        <w:shd w:val="clear" w:color="auto" w:fill="DFD8E8"/>
      </w:tcPr>
    </w:tblStylePr>
  </w:style>
  <w:style w:type="table" w:styleId="MediumList1">
    <w:name w:val="Medium List 1"/>
    <w:basedOn w:val="TableNormal"/>
    <w:uiPriority w:val="99"/>
    <w:rsid w:val="00E9624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w:eastAsia="Times New Roman" w:hAnsi="Times New Roman" w:cs="Times New Roman"/>
        <w:shd w:val="clear" w:color="auto" w:fill="auto"/>
      </w:rPr>
      <w:tblPr/>
      <w:tcPr>
        <w:tcBorders>
          <w:top w:val="nil"/>
          <w:bottom w:val="single" w:sz="8" w:space="0" w:color="000000"/>
        </w:tcBorders>
      </w:tcPr>
    </w:tblStylePr>
    <w:tblStylePr w:type="lastRow">
      <w:rPr>
        <w:rFonts w:cs="Times New Roman"/>
        <w:b/>
        <w:bCs/>
        <w:color w:val="1F497D"/>
        <w:shd w:val="clear" w:color="auto" w:fill="auto"/>
      </w:rPr>
      <w:tblPr/>
      <w:tcPr>
        <w:tcBorders>
          <w:top w:val="single" w:sz="8" w:space="0" w:color="000000"/>
          <w:bottom w:val="single" w:sz="8" w:space="0" w:color="000000"/>
        </w:tcBorders>
      </w:tcPr>
    </w:tblStylePr>
    <w:tblStylePr w:type="firstCol">
      <w:rPr>
        <w:rFonts w:cs="Times New Roman"/>
        <w:b/>
        <w:bCs/>
        <w:shd w:val="clear" w:color="auto" w:fill="auto"/>
      </w:rPr>
    </w:tblStylePr>
    <w:tblStylePr w:type="lastCol">
      <w:rPr>
        <w:rFonts w:cs="Times New Roman"/>
        <w:b/>
        <w:bCs/>
        <w:shd w:val="clear" w:color="auto" w:fill="auto"/>
      </w:rPr>
      <w:tblPr/>
      <w:tcPr>
        <w:tcBorders>
          <w:top w:val="single" w:sz="8" w:space="0" w:color="000000"/>
          <w:bottom w:val="single" w:sz="8" w:space="0" w:color="000000"/>
        </w:tcBorders>
      </w:tcPr>
    </w:tblStylePr>
    <w:tblStylePr w:type="band1Vert">
      <w:rPr>
        <w:rFonts w:cs="Times New Roman"/>
        <w:shd w:val="clear" w:color="auto" w:fill="auto"/>
      </w:rPr>
      <w:tblPr/>
      <w:tcPr>
        <w:shd w:val="clear" w:color="auto" w:fill="C0C0C0"/>
      </w:tcPr>
    </w:tblStylePr>
    <w:tblStylePr w:type="band1Horz">
      <w:rPr>
        <w:rFonts w:cs="Times New Roman"/>
        <w:shd w:val="clear" w:color="auto" w:fill="auto"/>
      </w:rPr>
      <w:tblPr/>
      <w:tcPr>
        <w:shd w:val="clear" w:color="auto" w:fill="C0C0C0"/>
      </w:tcPr>
    </w:tblStylePr>
  </w:style>
  <w:style w:type="table" w:styleId="LightShading">
    <w:name w:val="Light Shading"/>
    <w:basedOn w:val="TableNormal"/>
    <w:uiPriority w:val="99"/>
    <w:rsid w:val="00E9624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shd w:val="clear" w:color="auto" w:fill="auto"/>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shd w:val="clear" w:color="auto" w:fill="auto"/>
      </w:rPr>
      <w:tblPr/>
      <w:tcPr>
        <w:tcBorders>
          <w:top w:val="single" w:sz="8" w:space="0" w:color="000000"/>
          <w:left w:val="nil"/>
          <w:bottom w:val="single" w:sz="8" w:space="0" w:color="000000"/>
          <w:right w:val="nil"/>
          <w:insideH w:val="nil"/>
          <w:insideV w:val="nil"/>
        </w:tcBorders>
      </w:tcPr>
    </w:tblStylePr>
    <w:tblStylePr w:type="firstCol">
      <w:rPr>
        <w:rFonts w:cs="Times New Roman"/>
        <w:b/>
        <w:bCs/>
        <w:shd w:val="clear" w:color="auto" w:fill="auto"/>
      </w:rPr>
    </w:tblStylePr>
    <w:tblStylePr w:type="lastCol">
      <w:rPr>
        <w:rFonts w:cs="Times New Roman"/>
        <w:b/>
        <w:bCs/>
        <w:shd w:val="clear" w:color="auto" w:fill="auto"/>
      </w:rPr>
    </w:tblStylePr>
    <w:tblStylePr w:type="band1Vert">
      <w:rPr>
        <w:rFonts w:cs="Times New Roman"/>
        <w:shd w:val="clear" w:color="auto" w:fill="auto"/>
      </w:rPr>
      <w:tblPr/>
      <w:tcPr>
        <w:tcBorders>
          <w:left w:val="nil"/>
          <w:right w:val="nil"/>
          <w:insideH w:val="nil"/>
          <w:insideV w:val="nil"/>
        </w:tcBorders>
        <w:shd w:val="clear" w:color="auto" w:fill="C0C0C0"/>
      </w:tcPr>
    </w:tblStylePr>
    <w:tblStylePr w:type="band1Horz">
      <w:rPr>
        <w:rFonts w:cs="Times New Roman"/>
        <w:shd w:val="clear" w:color="auto" w:fill="auto"/>
      </w:rPr>
      <w:tblPr/>
      <w:tcPr>
        <w:tcBorders>
          <w:left w:val="nil"/>
          <w:right w:val="nil"/>
          <w:insideH w:val="nil"/>
          <w:insideV w:val="nil"/>
        </w:tcBorders>
        <w:shd w:val="clear" w:color="auto" w:fill="C0C0C0"/>
      </w:tcPr>
    </w:tblStylePr>
  </w:style>
  <w:style w:type="character" w:styleId="Hyperlink">
    <w:name w:val="Hyperlink"/>
    <w:uiPriority w:val="99"/>
    <w:rsid w:val="00863986"/>
    <w:rPr>
      <w:rFonts w:cs="Times New Roman"/>
      <w:color w:val="0000FF"/>
      <w:u w:val="single"/>
    </w:rPr>
  </w:style>
  <w:style w:type="paragraph" w:styleId="Header">
    <w:name w:val="header"/>
    <w:basedOn w:val="Normal"/>
    <w:link w:val="HeaderChar"/>
    <w:uiPriority w:val="99"/>
    <w:rsid w:val="0074377D"/>
    <w:pPr>
      <w:tabs>
        <w:tab w:val="center" w:pos="4680"/>
        <w:tab w:val="right" w:pos="9360"/>
      </w:tabs>
    </w:pPr>
    <w:rPr>
      <w:szCs w:val="20"/>
    </w:rPr>
  </w:style>
  <w:style w:type="character" w:customStyle="1" w:styleId="HeaderChar">
    <w:name w:val="Header Char"/>
    <w:link w:val="Header"/>
    <w:uiPriority w:val="99"/>
    <w:rsid w:val="0074377D"/>
    <w:rPr>
      <w:sz w:val="22"/>
    </w:rPr>
  </w:style>
  <w:style w:type="paragraph" w:styleId="Footer">
    <w:name w:val="footer"/>
    <w:basedOn w:val="Normal"/>
    <w:link w:val="FooterChar"/>
    <w:uiPriority w:val="99"/>
    <w:semiHidden/>
    <w:rsid w:val="0074377D"/>
    <w:pPr>
      <w:tabs>
        <w:tab w:val="center" w:pos="4680"/>
        <w:tab w:val="right" w:pos="9360"/>
      </w:tabs>
    </w:pPr>
    <w:rPr>
      <w:szCs w:val="20"/>
    </w:rPr>
  </w:style>
  <w:style w:type="character" w:customStyle="1" w:styleId="FooterChar">
    <w:name w:val="Footer Char"/>
    <w:link w:val="Footer"/>
    <w:uiPriority w:val="99"/>
    <w:rsid w:val="0074377D"/>
    <w:rPr>
      <w:sz w:val="22"/>
    </w:rPr>
  </w:style>
  <w:style w:type="paragraph" w:styleId="BalloonText">
    <w:name w:val="Balloon Text"/>
    <w:basedOn w:val="Normal"/>
    <w:link w:val="BalloonTextChar"/>
    <w:uiPriority w:val="99"/>
    <w:semiHidden/>
    <w:rsid w:val="003674C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674C3"/>
    <w:rPr>
      <w:rFonts w:ascii="Tahoma" w:hAnsi="Tahoma" w:cs="Tahoma"/>
      <w:sz w:val="16"/>
    </w:rPr>
  </w:style>
  <w:style w:type="character" w:styleId="CommentReference">
    <w:name w:val="annotation reference"/>
    <w:uiPriority w:val="99"/>
    <w:semiHidden/>
    <w:rsid w:val="003674C3"/>
    <w:rPr>
      <w:rFonts w:cs="Times New Roman"/>
      <w:sz w:val="16"/>
    </w:rPr>
  </w:style>
  <w:style w:type="paragraph" w:styleId="CommentText">
    <w:name w:val="annotation text"/>
    <w:basedOn w:val="Normal"/>
    <w:link w:val="CommentTextChar"/>
    <w:uiPriority w:val="99"/>
    <w:semiHidden/>
    <w:rsid w:val="003674C3"/>
    <w:pPr>
      <w:spacing w:line="240" w:lineRule="auto"/>
    </w:pPr>
    <w:rPr>
      <w:sz w:val="20"/>
      <w:szCs w:val="20"/>
    </w:rPr>
  </w:style>
  <w:style w:type="character" w:customStyle="1" w:styleId="CommentTextChar">
    <w:name w:val="Comment Text Char"/>
    <w:link w:val="CommentText"/>
    <w:uiPriority w:val="99"/>
    <w:rsid w:val="003674C3"/>
    <w:rPr>
      <w:rFonts w:cs="Times New Roman"/>
    </w:rPr>
  </w:style>
  <w:style w:type="paragraph" w:styleId="CommentSubject">
    <w:name w:val="annotation subject"/>
    <w:basedOn w:val="CommentText"/>
    <w:next w:val="CommentText"/>
    <w:link w:val="CommentSubjectChar"/>
    <w:uiPriority w:val="99"/>
    <w:semiHidden/>
    <w:rsid w:val="003674C3"/>
    <w:rPr>
      <w:b/>
      <w:bCs/>
    </w:rPr>
  </w:style>
  <w:style w:type="character" w:customStyle="1" w:styleId="CommentSubjectChar">
    <w:name w:val="Comment Subject Char"/>
    <w:link w:val="CommentSubject"/>
    <w:uiPriority w:val="99"/>
    <w:semiHidden/>
    <w:rsid w:val="003674C3"/>
    <w:rPr>
      <w:rFonts w:cs="Times New Roman"/>
      <w:b/>
      <w:bCs/>
    </w:rPr>
  </w:style>
  <w:style w:type="paragraph" w:styleId="ListParagraph">
    <w:name w:val="List Paragraph"/>
    <w:basedOn w:val="Normal"/>
    <w:uiPriority w:val="99"/>
    <w:qFormat/>
    <w:rsid w:val="00296B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SaveAsSingleFile/>
  <w:doNotOrganizeInFolder/>
  <w:doNotUseLongFileNames/>
  <w:pixelsPerInch w:val="0"/>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1.next.westlaw.com/Link/Document/FullText?findType=Y&amp;serNum=2002601637&amp;pubNum=506&amp;originationContext=document&amp;transitionType=DocumentItem&amp;contextData=%28sc.UserEnteredCitation%29" TargetMode="External"/><Relationship Id="rId9" Type="http://schemas.openxmlformats.org/officeDocument/2006/relationships/hyperlink" Target="https://1.next.westlaw.com/Link/Document/FullText?findType=Y&amp;serNum=1985117986&amp;pubNum=350&amp;originationContext=document&amp;transitionType=DocumentItem&amp;contextData=%28sc.UserEnteredCitation%29" TargetMode="External"/><Relationship Id="rId10" Type="http://schemas.openxmlformats.org/officeDocument/2006/relationships/hyperlink" Target="https://1.next.westlaw.com/Link/Document/FullText?findType=Y&amp;pubNum=0100014&amp;cite=HRREP51-374&amp;originationContext=document&amp;transitionType=DocumentItem&amp;contextData=%28sc.History*oc.Search%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3037</Words>
  <Characters>15553</Characters>
  <Application>Microsoft Macintosh Word</Application>
  <DocSecurity>0</DocSecurity>
  <Lines>353</Lines>
  <Paragraphs>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2012-04-12T12:21:00Z</dcterms:created>
  <dcterms:modified xsi:type="dcterms:W3CDTF">2012-06-02T13:04:00Z</dcterms:modified>
  <cp:category/>
</cp:coreProperties>
</file>